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98E" w:rsidRPr="00FD2902" w:rsidRDefault="00B57D8A" w:rsidP="00FD2902">
      <w:pPr>
        <w:pBdr>
          <w:top w:val="single" w:sz="4" w:space="1" w:color="auto"/>
          <w:left w:val="single" w:sz="4" w:space="4" w:color="auto"/>
          <w:bottom w:val="single" w:sz="4" w:space="1" w:color="auto"/>
          <w:right w:val="single" w:sz="4" w:space="4" w:color="auto"/>
        </w:pBdr>
        <w:jc w:val="center"/>
        <w:rPr>
          <w:b/>
        </w:rPr>
      </w:pPr>
      <w:r w:rsidRPr="00B57D8A">
        <w:rPr>
          <w:b/>
        </w:rPr>
        <w:t>Terminale – SUPPORT SEQUENCE 5</w:t>
      </w:r>
    </w:p>
    <w:p w:rsidR="00FD2902" w:rsidRPr="00B57D8A" w:rsidRDefault="00FD2902" w:rsidP="00FD2902">
      <w:pPr>
        <w:jc w:val="center"/>
      </w:pPr>
      <w:r>
        <w:rPr>
          <w:noProof/>
          <w:lang w:eastAsia="fr-FR"/>
        </w:rPr>
        <w:drawing>
          <wp:inline distT="0" distB="0" distL="0" distR="0" wp14:anchorId="0F8A06BD" wp14:editId="3D314392">
            <wp:extent cx="2670540" cy="1838325"/>
            <wp:effectExtent l="0" t="0" r="0" b="0"/>
            <wp:docPr id="12" name="Image 12" descr="http://www.developpementdurable.com/gfx/newsArticles/zoomThumbs/0903261757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eveloppementdurable.com/gfx/newsArticles/zoomThumbs/09032617574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70540" cy="1838325"/>
                    </a:xfrm>
                    <a:prstGeom prst="rect">
                      <a:avLst/>
                    </a:prstGeom>
                    <a:noFill/>
                    <a:ln>
                      <a:noFill/>
                    </a:ln>
                  </pic:spPr>
                </pic:pic>
              </a:graphicData>
            </a:graphic>
          </wp:inline>
        </w:drawing>
      </w:r>
      <w:r>
        <w:t xml:space="preserve">     </w:t>
      </w:r>
      <w:r>
        <w:rPr>
          <w:noProof/>
          <w:lang w:eastAsia="fr-FR"/>
        </w:rPr>
        <w:drawing>
          <wp:inline distT="0" distB="0" distL="0" distR="0" wp14:anchorId="25FA19BF" wp14:editId="06BA88D6">
            <wp:extent cx="2680335" cy="1714500"/>
            <wp:effectExtent l="0" t="0" r="5715" b="0"/>
            <wp:docPr id="13" name="Image 13" descr="http://carfree.free.fr/images/taxe_carbone_pot_ech_1402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arfree.free.fr/images/taxe_carbone_pot_ech_14021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0335" cy="1714500"/>
                    </a:xfrm>
                    <a:prstGeom prst="rect">
                      <a:avLst/>
                    </a:prstGeom>
                    <a:noFill/>
                    <a:ln>
                      <a:noFill/>
                    </a:ln>
                  </pic:spPr>
                </pic:pic>
              </a:graphicData>
            </a:graphic>
          </wp:inline>
        </w:drawing>
      </w:r>
    </w:p>
    <w:p w:rsidR="00B57D8A" w:rsidRDefault="00FD2902" w:rsidP="00FD2902">
      <w:pPr>
        <w:jc w:val="center"/>
      </w:pPr>
      <w:r>
        <w:rPr>
          <w:noProof/>
          <w:lang w:eastAsia="fr-FR"/>
        </w:rPr>
        <w:drawing>
          <wp:inline distT="0" distB="0" distL="0" distR="0" wp14:anchorId="2F8BD988" wp14:editId="2324F75F">
            <wp:extent cx="1989402" cy="1708030"/>
            <wp:effectExtent l="0" t="0" r="0" b="6985"/>
            <wp:docPr id="5" name="Image 5" descr="http://www.poitou-charentes.fr/content-alfresco-portlet/document?uuid=e8b65848-cc6d-11df-b5c9-353a39d8ac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oitou-charentes.fr/content-alfresco-portlet/document?uuid=e8b65848-cc6d-11df-b5c9-353a39d8ac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9573" cy="1708177"/>
                    </a:xfrm>
                    <a:prstGeom prst="rect">
                      <a:avLst/>
                    </a:prstGeom>
                    <a:noFill/>
                    <a:ln>
                      <a:noFill/>
                    </a:ln>
                  </pic:spPr>
                </pic:pic>
              </a:graphicData>
            </a:graphic>
          </wp:inline>
        </w:drawing>
      </w:r>
      <w:r>
        <w:t xml:space="preserve">    </w:t>
      </w:r>
      <w:r>
        <w:rPr>
          <w:noProof/>
          <w:lang w:eastAsia="fr-FR"/>
        </w:rPr>
        <w:drawing>
          <wp:inline distT="0" distB="0" distL="0" distR="0" wp14:anchorId="0A29B11B" wp14:editId="7C7C1F2A">
            <wp:extent cx="3338423" cy="1658909"/>
            <wp:effectExtent l="0" t="0" r="0" b="0"/>
            <wp:docPr id="9" name="Image 9" descr="http://jupiter.uqo.ca/ries2001/carnet/IMG/arton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jupiter.uqo.ca/ries2001/carnet/IMG/arton6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8414" cy="1658904"/>
                    </a:xfrm>
                    <a:prstGeom prst="rect">
                      <a:avLst/>
                    </a:prstGeom>
                    <a:noFill/>
                    <a:ln>
                      <a:noFill/>
                    </a:ln>
                  </pic:spPr>
                </pic:pic>
              </a:graphicData>
            </a:graphic>
          </wp:inline>
        </w:drawing>
      </w:r>
    </w:p>
    <w:p w:rsidR="00FD2902" w:rsidRDefault="00FD2902" w:rsidP="00FD2902">
      <w:pPr>
        <w:jc w:val="center"/>
      </w:pPr>
      <w:r>
        <w:rPr>
          <w:noProof/>
          <w:lang w:eastAsia="fr-FR"/>
        </w:rPr>
        <w:drawing>
          <wp:inline distT="0" distB="0" distL="0" distR="0" wp14:anchorId="27C43D64" wp14:editId="2E73DDE6">
            <wp:extent cx="3086100" cy="2010488"/>
            <wp:effectExtent l="0" t="0" r="0" b="8890"/>
            <wp:docPr id="14" name="Image 14" descr="http://nimbuseco.com/wp-content/uploads/2013/01/Deforestation-Amaz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nimbuseco.com/wp-content/uploads/2013/01/Deforestation-Amazo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85801" cy="2010293"/>
                    </a:xfrm>
                    <a:prstGeom prst="rect">
                      <a:avLst/>
                    </a:prstGeom>
                    <a:noFill/>
                    <a:ln>
                      <a:noFill/>
                    </a:ln>
                  </pic:spPr>
                </pic:pic>
              </a:graphicData>
            </a:graphic>
          </wp:inline>
        </w:drawing>
      </w:r>
      <w:r>
        <w:t xml:space="preserve"> </w:t>
      </w:r>
      <w:r>
        <w:rPr>
          <w:noProof/>
          <w:lang w:eastAsia="fr-FR"/>
        </w:rPr>
        <w:t xml:space="preserve">   </w:t>
      </w:r>
      <w:r>
        <w:rPr>
          <w:noProof/>
          <w:lang w:eastAsia="fr-FR"/>
        </w:rPr>
        <w:drawing>
          <wp:inline distT="0" distB="0" distL="0" distR="0" wp14:anchorId="2E149FB7" wp14:editId="683FFD2E">
            <wp:extent cx="2905125" cy="2001764"/>
            <wp:effectExtent l="0" t="0" r="0" b="0"/>
            <wp:docPr id="15" name="Image 15" descr="http://www.afrique7.com/wp-content/uploads/2012/11/Namibie-Disparition-totale-des-poissons-d%E2%80%99ici-40-a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frique7.com/wp-content/uploads/2012/11/Namibie-Disparition-totale-des-poissons-d%E2%80%99ici-40-an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9020" cy="2004448"/>
                    </a:xfrm>
                    <a:prstGeom prst="rect">
                      <a:avLst/>
                    </a:prstGeom>
                    <a:noFill/>
                    <a:ln>
                      <a:noFill/>
                    </a:ln>
                  </pic:spPr>
                </pic:pic>
              </a:graphicData>
            </a:graphic>
          </wp:inline>
        </w:drawing>
      </w:r>
    </w:p>
    <w:p w:rsidR="00FD2902" w:rsidRDefault="00FD2902" w:rsidP="00FD2902">
      <w:pPr>
        <w:jc w:val="center"/>
      </w:pPr>
      <w:r>
        <w:rPr>
          <w:noProof/>
          <w:lang w:eastAsia="fr-FR"/>
        </w:rPr>
        <w:drawing>
          <wp:inline distT="0" distB="0" distL="0" distR="0">
            <wp:extent cx="2736342" cy="2171700"/>
            <wp:effectExtent l="0" t="0" r="6985" b="0"/>
            <wp:docPr id="39" name="Image 39" descr="http://www.bienachetermavoiture.com/wp-content/uploads/2013/02/bonus_189x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ienachetermavoiture.com/wp-content/uploads/2013/02/bonus_189x15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6342" cy="2171700"/>
                    </a:xfrm>
                    <a:prstGeom prst="rect">
                      <a:avLst/>
                    </a:prstGeom>
                    <a:noFill/>
                    <a:ln>
                      <a:noFill/>
                    </a:ln>
                  </pic:spPr>
                </pic:pic>
              </a:graphicData>
            </a:graphic>
          </wp:inline>
        </w:drawing>
      </w:r>
      <w:r>
        <w:t xml:space="preserve">  </w:t>
      </w:r>
      <w:r>
        <w:rPr>
          <w:noProof/>
          <w:lang w:eastAsia="fr-FR"/>
        </w:rPr>
        <w:drawing>
          <wp:inline distT="0" distB="0" distL="0" distR="0">
            <wp:extent cx="3124200" cy="2463311"/>
            <wp:effectExtent l="0" t="0" r="0" b="0"/>
            <wp:docPr id="16" name="Image 16" descr="http://vidberg.blog.lemonde.fr/files/2009/09/230-taxe-carbone.1251968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vidberg.blog.lemonde.fr/files/2009/09/230-taxe-carbone.125196809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7168" cy="2473536"/>
                    </a:xfrm>
                    <a:prstGeom prst="rect">
                      <a:avLst/>
                    </a:prstGeom>
                    <a:noFill/>
                    <a:ln>
                      <a:noFill/>
                    </a:ln>
                  </pic:spPr>
                </pic:pic>
              </a:graphicData>
            </a:graphic>
          </wp:inline>
        </w:drawing>
      </w:r>
    </w:p>
    <w:p w:rsidR="00FD2902" w:rsidRPr="00B57D8A" w:rsidRDefault="00FD2902" w:rsidP="00FD2902">
      <w:pPr>
        <w:jc w:val="center"/>
      </w:pPr>
    </w:p>
    <w:p w:rsidR="00B57D8A" w:rsidRPr="00B57D8A" w:rsidRDefault="00B57D8A"/>
    <w:p w:rsidR="00B57D8A" w:rsidRPr="00B57D8A" w:rsidRDefault="00B57D8A" w:rsidP="00B57D8A">
      <w:pPr>
        <w:jc w:val="center"/>
        <w:rPr>
          <w:b/>
        </w:rPr>
      </w:pPr>
      <w:r w:rsidRPr="00B57D8A">
        <w:rPr>
          <w:b/>
          <w:highlight w:val="yellow"/>
        </w:rPr>
        <w:lastRenderedPageBreak/>
        <w:t>SEQUENCE 5 : La croissance est-compatible avec la préservation de l’environnement ?</w:t>
      </w:r>
    </w:p>
    <w:p w:rsidR="00B57D8A" w:rsidRPr="00B57D8A" w:rsidRDefault="00B57D8A"/>
    <w:p w:rsidR="00FE7FB9" w:rsidRPr="00FE7FB9" w:rsidRDefault="00FE7FB9" w:rsidP="00FE7FB9">
      <w:pPr>
        <w:pStyle w:val="Paragraphedeliste"/>
        <w:numPr>
          <w:ilvl w:val="0"/>
          <w:numId w:val="6"/>
        </w:numPr>
        <w:jc w:val="both"/>
        <w:rPr>
          <w:b/>
        </w:rPr>
      </w:pPr>
      <w:r w:rsidRPr="00FE7FB9">
        <w:rPr>
          <w:b/>
        </w:rPr>
        <w:t>Quelles sont les limites écologiques de la croissance ?</w:t>
      </w:r>
    </w:p>
    <w:p w:rsidR="00FE7FB9" w:rsidRPr="00FE7FB9" w:rsidRDefault="00FE7FB9" w:rsidP="00FE7FB9">
      <w:pPr>
        <w:pStyle w:val="Paragraphedeliste"/>
        <w:jc w:val="both"/>
        <w:rPr>
          <w:lang w:val="en-US"/>
        </w:rPr>
      </w:pPr>
      <w:r w:rsidRPr="00FE7FB9">
        <w:sym w:font="Wingdings" w:char="F026"/>
      </w:r>
      <w:r w:rsidRPr="00FE7FB9">
        <w:rPr>
          <w:lang w:val="en-US"/>
        </w:rPr>
        <w:t xml:space="preserve"> Doc A, Doc B</w:t>
      </w:r>
    </w:p>
    <w:p w:rsidR="00FE7FB9" w:rsidRPr="00FE7FB9" w:rsidRDefault="00FE7FB9" w:rsidP="00FE7FB9">
      <w:pPr>
        <w:pStyle w:val="Paragraphedeliste"/>
        <w:numPr>
          <w:ilvl w:val="0"/>
          <w:numId w:val="6"/>
        </w:numPr>
        <w:jc w:val="both"/>
        <w:rPr>
          <w:b/>
        </w:rPr>
      </w:pPr>
      <w:r w:rsidRPr="00FE7FB9">
        <w:rPr>
          <w:b/>
        </w:rPr>
        <w:t>Comment la croissance peut-elle être soutenable ?</w:t>
      </w:r>
    </w:p>
    <w:p w:rsidR="00FE7FB9" w:rsidRPr="00FE7FB9" w:rsidRDefault="00FE7FB9" w:rsidP="00FE7FB9">
      <w:pPr>
        <w:pStyle w:val="Paragraphedeliste"/>
        <w:jc w:val="both"/>
        <w:rPr>
          <w:lang w:val="en-US"/>
        </w:rPr>
      </w:pPr>
      <w:r w:rsidRPr="00FE7FB9">
        <w:sym w:font="Wingdings" w:char="F026"/>
      </w:r>
      <w:r w:rsidRPr="00FE7FB9">
        <w:rPr>
          <w:lang w:val="en-US"/>
        </w:rPr>
        <w:t xml:space="preserve"> Doc C, Doc D</w:t>
      </w:r>
    </w:p>
    <w:p w:rsidR="00FE7FB9" w:rsidRPr="00FE7FB9" w:rsidRDefault="00FE7FB9" w:rsidP="00FE7FB9">
      <w:pPr>
        <w:pStyle w:val="Paragraphedeliste"/>
        <w:numPr>
          <w:ilvl w:val="0"/>
          <w:numId w:val="6"/>
        </w:numPr>
        <w:jc w:val="both"/>
      </w:pPr>
      <w:r w:rsidRPr="00FE7FB9">
        <w:rPr>
          <w:b/>
        </w:rPr>
        <w:t>Quels sont les instruments dont disposent les pouvoirs publics pour mener des politiques environnementales ? L’exemple de la politique climatique</w:t>
      </w:r>
    </w:p>
    <w:p w:rsidR="00FE7FB9" w:rsidRPr="00FE7FB9" w:rsidRDefault="00183B06" w:rsidP="00FE7FB9">
      <w:pPr>
        <w:pStyle w:val="Paragraphedeliste"/>
        <w:numPr>
          <w:ilvl w:val="0"/>
          <w:numId w:val="5"/>
        </w:numPr>
        <w:jc w:val="both"/>
        <w:rPr>
          <w:b/>
        </w:rPr>
      </w:pPr>
      <w:r>
        <w:rPr>
          <w:b/>
        </w:rPr>
        <w:t>La ré</w:t>
      </w:r>
      <w:r w:rsidR="00FE7FB9" w:rsidRPr="00FE7FB9">
        <w:rPr>
          <w:b/>
        </w:rPr>
        <w:t>glementation</w:t>
      </w:r>
    </w:p>
    <w:p w:rsidR="00FE7FB9" w:rsidRPr="00FE7FB9" w:rsidRDefault="00FE7FB9" w:rsidP="00FE7FB9">
      <w:pPr>
        <w:pStyle w:val="Paragraphedeliste"/>
        <w:jc w:val="both"/>
      </w:pPr>
      <w:r w:rsidRPr="00FE7FB9">
        <w:sym w:font="Wingdings" w:char="F026"/>
      </w:r>
      <w:r w:rsidRPr="00FE7FB9">
        <w:t xml:space="preserve"> Doc E</w:t>
      </w:r>
    </w:p>
    <w:p w:rsidR="00FE7FB9" w:rsidRPr="00FE7FB9" w:rsidRDefault="00FE7FB9" w:rsidP="00FE7FB9">
      <w:pPr>
        <w:pStyle w:val="Paragraphedeliste"/>
        <w:numPr>
          <w:ilvl w:val="0"/>
          <w:numId w:val="5"/>
        </w:numPr>
        <w:spacing w:after="0"/>
        <w:jc w:val="both"/>
        <w:rPr>
          <w:b/>
        </w:rPr>
      </w:pPr>
      <w:r w:rsidRPr="00FE7FB9">
        <w:rPr>
          <w:b/>
        </w:rPr>
        <w:t>Les instruments économiques</w:t>
      </w:r>
    </w:p>
    <w:p w:rsidR="00FE7FB9" w:rsidRPr="00FE7FB9" w:rsidRDefault="00FE7FB9" w:rsidP="00FE7FB9">
      <w:pPr>
        <w:ind w:firstLine="708"/>
        <w:jc w:val="both"/>
        <w:rPr>
          <w:b/>
        </w:rPr>
      </w:pPr>
      <w:r w:rsidRPr="00FE7FB9">
        <w:sym w:font="Wingdings" w:char="F026"/>
      </w:r>
      <w:r w:rsidRPr="00FE7FB9">
        <w:t xml:space="preserve"> Doc F, Doc G</w:t>
      </w:r>
    </w:p>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Pr="00B57D8A" w:rsidRDefault="00B57D8A"/>
    <w:p w:rsidR="00B57D8A" w:rsidRDefault="00B57D8A"/>
    <w:p w:rsidR="008F5C5E" w:rsidRPr="00B57D8A" w:rsidRDefault="008F5C5E"/>
    <w:p w:rsidR="00B57D8A" w:rsidRDefault="00B57D8A"/>
    <w:p w:rsidR="00FE7FB9" w:rsidRPr="00B57D8A" w:rsidRDefault="00FE7FB9"/>
    <w:p w:rsidR="008F5C5E" w:rsidRPr="00C43162" w:rsidRDefault="00290F7E" w:rsidP="00C43162">
      <w:pPr>
        <w:pBdr>
          <w:top w:val="single" w:sz="4" w:space="1" w:color="auto"/>
          <w:left w:val="single" w:sz="4" w:space="4" w:color="auto"/>
          <w:bottom w:val="single" w:sz="4" w:space="1" w:color="auto"/>
          <w:right w:val="single" w:sz="4" w:space="4" w:color="auto"/>
        </w:pBdr>
        <w:jc w:val="center"/>
        <w:rPr>
          <w:b/>
        </w:rPr>
      </w:pPr>
      <w:r>
        <w:rPr>
          <w:b/>
        </w:rPr>
        <w:t>Romain PELLEGRINI</w:t>
      </w:r>
      <w:r>
        <w:br w:type="page"/>
      </w:r>
    </w:p>
    <w:p w:rsidR="00FE7FB9" w:rsidRDefault="00FE7FB9" w:rsidP="00FE7FB9">
      <w:pPr>
        <w:pBdr>
          <w:top w:val="wave" w:sz="6" w:space="1" w:color="auto"/>
          <w:left w:val="wave" w:sz="6" w:space="4" w:color="auto"/>
          <w:bottom w:val="wave" w:sz="6" w:space="1" w:color="auto"/>
          <w:right w:val="wave" w:sz="6" w:space="4" w:color="auto"/>
        </w:pBdr>
      </w:pPr>
      <w:r>
        <w:lastRenderedPageBreak/>
        <w:sym w:font="Wingdings" w:char="F026"/>
      </w:r>
      <w:r>
        <w:t xml:space="preserve"> Document A </w:t>
      </w:r>
    </w:p>
    <w:p w:rsidR="00FE7FB9" w:rsidRPr="00091E76" w:rsidRDefault="00FE7FB9" w:rsidP="00FE7FB9">
      <w:pPr>
        <w:pBdr>
          <w:top w:val="wave" w:sz="6" w:space="1" w:color="auto"/>
          <w:left w:val="wave" w:sz="6" w:space="4" w:color="auto"/>
          <w:bottom w:val="wave" w:sz="6" w:space="1" w:color="auto"/>
          <w:right w:val="wave" w:sz="6" w:space="4" w:color="auto"/>
        </w:pBdr>
        <w:jc w:val="both"/>
      </w:pPr>
      <w:r w:rsidRPr="00091E76">
        <w:t>La hausse des émissions de dioxyde de carbone (CO2) se poursuit à un rythme effréné et coïncide avec le plus pessimiste des quatre grands scénarios de développement imaginés par la communauté scientifique.</w:t>
      </w:r>
      <w:r>
        <w:t xml:space="preserve"> </w:t>
      </w:r>
      <w:r w:rsidRPr="00091E76">
        <w:t>Dimanche 21 septembre au soir,</w:t>
      </w:r>
      <w:r w:rsidRPr="00CB10C6">
        <w:t xml:space="preserve"> le </w:t>
      </w:r>
      <w:r w:rsidRPr="002404C2">
        <w:rPr>
          <w:i/>
        </w:rPr>
        <w:t xml:space="preserve">Global </w:t>
      </w:r>
      <w:proofErr w:type="spellStart"/>
      <w:r w:rsidRPr="002404C2">
        <w:rPr>
          <w:i/>
        </w:rPr>
        <w:t>Carbon</w:t>
      </w:r>
      <w:proofErr w:type="spellEnd"/>
      <w:r w:rsidRPr="002404C2">
        <w:rPr>
          <w:i/>
        </w:rPr>
        <w:t xml:space="preserve"> Project</w:t>
      </w:r>
      <w:r w:rsidRPr="00CB10C6">
        <w:t xml:space="preserve"> (GCP)</w:t>
      </w:r>
      <w:r w:rsidRPr="00091E76">
        <w:t xml:space="preserve">, un consortium d'organismes de recherche internationaux de référence, a rendu public le bilan des émissions anthropiques de CO2 pour l'année 2013 et confirme que celles-ci sont hors de </w:t>
      </w:r>
      <w:proofErr w:type="spellStart"/>
      <w:r w:rsidRPr="00091E76">
        <w:t>contrôle.En</w:t>
      </w:r>
      <w:proofErr w:type="spellEnd"/>
      <w:r w:rsidRPr="00091E76">
        <w:t xml:space="preserve"> 2013, la combustion des ressources fossiles (</w:t>
      </w:r>
      <w:r w:rsidRPr="00CB10C6">
        <w:t>pétrole</w:t>
      </w:r>
      <w:r w:rsidRPr="00091E76">
        <w:t>, gaz, charbon) et les cimenteries, ont émis 36 milliards de tonnes de CO2 (GtCO2</w:t>
      </w:r>
      <w:r>
        <w:t>), en hausse de 2,3</w:t>
      </w:r>
      <w:r w:rsidRPr="00091E76">
        <w:t>% par rapport à l'année précédente. Quant à la déforestation, elle a conduit à l'émission de 3,3 GtCO2. Soit un </w:t>
      </w:r>
      <w:r w:rsidRPr="00CB10C6">
        <w:t>total</w:t>
      </w:r>
      <w:r w:rsidRPr="00091E76">
        <w:t xml:space="preserve"> de près de 39,3 milliards de tonnes du principal gaz à effet de serre émis en 2013 par l'homme. C'est un nouveau record qui est battu, en dépit d'une augmentation en deçà du niveau </w:t>
      </w:r>
      <w:r>
        <w:t>moyen des années 2000, soit 3,3</w:t>
      </w:r>
      <w:r w:rsidRPr="00091E76">
        <w:t>%.</w:t>
      </w:r>
    </w:p>
    <w:p w:rsidR="00FE7FB9" w:rsidRPr="00091E76" w:rsidRDefault="00FE7FB9" w:rsidP="00FE7FB9">
      <w:pPr>
        <w:pBdr>
          <w:top w:val="wave" w:sz="6" w:space="1" w:color="auto"/>
          <w:left w:val="wave" w:sz="6" w:space="4" w:color="auto"/>
          <w:bottom w:val="wave" w:sz="6" w:space="1" w:color="auto"/>
          <w:right w:val="wave" w:sz="6" w:space="4" w:color="auto"/>
        </w:pBdr>
        <w:jc w:val="both"/>
      </w:pPr>
      <w:r w:rsidRPr="00091E76">
        <w:t>L'examen des données de chaque pays offre un aperçu saisissant de l'inexorable montée en puissance chinoise. La </w:t>
      </w:r>
      <w:r w:rsidRPr="00CB10C6">
        <w:t>Chine</w:t>
      </w:r>
      <w:r w:rsidRPr="00091E76">
        <w:t xml:space="preserve"> était devenue, en 2008, le premier émetteur de CO2, </w:t>
      </w:r>
      <w:r>
        <w:t xml:space="preserve">devant les Etats-Unis. Mais, en </w:t>
      </w:r>
      <w:r w:rsidRPr="00091E76">
        <w:t>rapportant </w:t>
      </w:r>
      <w:r w:rsidRPr="00CB10C6">
        <w:t>ses</w:t>
      </w:r>
      <w:r w:rsidRPr="00091E76">
        <w:t> émissions à sa démographie, elle demeurait loin des pays développés. Dans son dernier bilan, le GCP conclut que la Chine a franchi une nouvelle étape.</w:t>
      </w:r>
      <w:r>
        <w:t xml:space="preserve"> </w:t>
      </w:r>
      <w:r w:rsidRPr="00091E76">
        <w:t>Non seulement l'Empire du milieu demeure le principal émetteur en valeur absolue – 28% des émissions mondiales en 2013 –, mais ses émissions par habitant ont désormais surpassé celles de l'</w:t>
      </w:r>
      <w:r w:rsidRPr="00CB10C6">
        <w:t>Union européenne</w:t>
      </w:r>
      <w:r w:rsidRPr="00091E76">
        <w:t>. En 2013, un Chinois moyen a donc émis plus de CO2 qu'un Européen moyen – les Américains qui émettent entre deux et trois fois plus par habitant, sont encore assez loin devant.</w:t>
      </w:r>
      <w:r>
        <w:t xml:space="preserve"> </w:t>
      </w:r>
      <w:r w:rsidRPr="00091E76">
        <w:t>Paradoxalement, ce seuil est franchi alors que les émissions chi</w:t>
      </w:r>
      <w:r>
        <w:t>noises n'ont crû « que » de 4,2</w:t>
      </w:r>
      <w:r w:rsidRPr="00091E76">
        <w:t>% par rapport à 2012, soit « </w:t>
      </w:r>
      <w:r w:rsidRPr="002404C2">
        <w:rPr>
          <w:i/>
        </w:rPr>
        <w:t>le plus faible taux d'augmentation depuis 2007-2008</w:t>
      </w:r>
      <w:r w:rsidRPr="00091E76">
        <w:t> ». Les auteurs attribuent cette situation à deux facteurs : « </w:t>
      </w:r>
      <w:r w:rsidRPr="002404C2">
        <w:rPr>
          <w:i/>
        </w:rPr>
        <w:t>une croissance économique plus faible et des améliorations de l'intensité-carbone de l'économie</w:t>
      </w:r>
      <w:r w:rsidRPr="00091E76">
        <w:t> », c'est-à-dire des efforts conduits en termes d'efficacité énergétique. Au contraire, l'autre grand pays asiatique émergent, l'</w:t>
      </w:r>
      <w:r w:rsidRPr="00CB10C6">
        <w:t>Inde</w:t>
      </w:r>
      <w:r w:rsidRPr="00091E76">
        <w:t>, a vu ses émissions</w:t>
      </w:r>
      <w:r>
        <w:t xml:space="preserve"> </w:t>
      </w:r>
      <w:r w:rsidRPr="00CB10C6">
        <w:t>croître</w:t>
      </w:r>
      <w:r>
        <w:t> de 5,1</w:t>
      </w:r>
      <w:r w:rsidRPr="00091E76">
        <w:t>%, porté par une forte croissance économique et une détérioration de l'efficacité énergétique de son économie.</w:t>
      </w:r>
      <w:r>
        <w:t xml:space="preserve"> </w:t>
      </w:r>
      <w:r w:rsidRPr="00091E76">
        <w:t>Quant aux Vingt-huit, leu</w:t>
      </w:r>
      <w:r>
        <w:t>rs émissions décroissent de 1,8</w:t>
      </w:r>
      <w:r w:rsidRPr="00091E76">
        <w:t>%, « </w:t>
      </w:r>
      <w:r w:rsidRPr="002404C2">
        <w:rPr>
          <w:i/>
        </w:rPr>
        <w:t>du fait d'une économie faible, le déclin des émissions de certains pays étant compensé par un retour au charbon conduit par la Pologne, l'Allemagne et la Finlande</w:t>
      </w:r>
      <w:r w:rsidRPr="00091E76">
        <w:t xml:space="preserve"> », écrivent les auteurs. </w:t>
      </w:r>
      <w:r>
        <w:t>[…]</w:t>
      </w:r>
    </w:p>
    <w:p w:rsidR="00FE7FB9" w:rsidRDefault="00FE7FB9" w:rsidP="00FE7FB9">
      <w:pPr>
        <w:pBdr>
          <w:top w:val="wave" w:sz="6" w:space="1" w:color="auto"/>
          <w:left w:val="wave" w:sz="6" w:space="4" w:color="auto"/>
          <w:bottom w:val="wave" w:sz="6" w:space="1" w:color="auto"/>
          <w:right w:val="wave" w:sz="6" w:space="4" w:color="auto"/>
        </w:pBdr>
        <w:jc w:val="both"/>
      </w:pPr>
      <w:r w:rsidRPr="00091E76">
        <w:t>Au niveau mondial, les quantités cumulées de dioxyde de carbone émises par l'humanité apparaissent considérables et éloignent toujours plus la perspective d'un maintien du thermostat terrestre sous le seuil des 2 °C, la limite fixée par la communauté internationale pour </w:t>
      </w:r>
      <w:r w:rsidRPr="00CB10C6">
        <w:t>éviter</w:t>
      </w:r>
      <w:r w:rsidRPr="00091E76">
        <w:t> une détérioration dangereuse du </w:t>
      </w:r>
      <w:proofErr w:type="spellStart"/>
      <w:r w:rsidRPr="00CB10C6">
        <w:t>climat</w:t>
      </w:r>
      <w:r w:rsidRPr="00091E76">
        <w:t>terrestre</w:t>
      </w:r>
      <w:proofErr w:type="spellEnd"/>
      <w:r w:rsidRPr="00091E76">
        <w:t>.</w:t>
      </w:r>
    </w:p>
    <w:p w:rsidR="00FE7FB9" w:rsidRPr="00CB10C6" w:rsidRDefault="00FE7FB9" w:rsidP="00FE7FB9">
      <w:pPr>
        <w:pBdr>
          <w:top w:val="wave" w:sz="6" w:space="1" w:color="auto"/>
          <w:left w:val="wave" w:sz="6" w:space="4" w:color="auto"/>
          <w:bottom w:val="wave" w:sz="6" w:space="1" w:color="auto"/>
          <w:right w:val="wave" w:sz="6" w:space="4" w:color="auto"/>
        </w:pBdr>
        <w:spacing w:after="0"/>
        <w:jc w:val="right"/>
        <w:rPr>
          <w:b/>
        </w:rPr>
      </w:pPr>
      <w:r w:rsidRPr="00CB10C6">
        <w:rPr>
          <w:b/>
        </w:rPr>
        <w:t xml:space="preserve">Stéphane FOUCART, « Nouveau record des émissions de CO2 en 2013 », </w:t>
      </w:r>
      <w:hyperlink r:id="rId14" w:history="1">
        <w:r w:rsidRPr="00CB10C6">
          <w:rPr>
            <w:rStyle w:val="Lienhypertexte"/>
            <w:b/>
          </w:rPr>
          <w:t>www.lemonde.fr</w:t>
        </w:r>
      </w:hyperlink>
      <w:r w:rsidRPr="00CB10C6">
        <w:rPr>
          <w:b/>
        </w:rPr>
        <w:t>, 21.09.2014</w:t>
      </w:r>
    </w:p>
    <w:p w:rsidR="00FE7FB9" w:rsidRPr="00CB10C6" w:rsidRDefault="00183B06" w:rsidP="00FE7FB9">
      <w:pPr>
        <w:pBdr>
          <w:top w:val="wave" w:sz="6" w:space="1" w:color="auto"/>
          <w:left w:val="wave" w:sz="6" w:space="4" w:color="auto"/>
          <w:bottom w:val="wave" w:sz="6" w:space="1" w:color="auto"/>
          <w:right w:val="wave" w:sz="6" w:space="4" w:color="auto"/>
        </w:pBdr>
        <w:jc w:val="right"/>
        <w:rPr>
          <w:b/>
        </w:rPr>
      </w:pPr>
      <w:hyperlink r:id="rId15" w:history="1">
        <w:r w:rsidR="00FE7FB9" w:rsidRPr="00CB10C6">
          <w:rPr>
            <w:rStyle w:val="Lienhypertexte"/>
            <w:b/>
          </w:rPr>
          <w:t>http://www.lemonde.fr/planete/article/2014/09/21/nouveau-record-des-emissions-de-co2-en-2013_4491588_3244.html</w:t>
        </w:r>
      </w:hyperlink>
    </w:p>
    <w:p w:rsidR="00FE7FB9" w:rsidRDefault="00FE7FB9" w:rsidP="00FE7FB9">
      <w:pPr>
        <w:spacing w:after="0"/>
        <w:jc w:val="both"/>
        <w:rPr>
          <w:i/>
          <w:color w:val="C0504D" w:themeColor="accent2"/>
        </w:rPr>
      </w:pPr>
      <w:r>
        <w:rPr>
          <w:i/>
          <w:color w:val="C0504D" w:themeColor="accent2"/>
        </w:rPr>
        <w:t>Q1</w:t>
      </w:r>
      <w:r w:rsidRPr="002F7CC5">
        <w:rPr>
          <w:i/>
          <w:color w:val="C0504D" w:themeColor="accent2"/>
        </w:rPr>
        <w:t xml:space="preserve">. Quelle est l’ampleur des émissions de </w:t>
      </w:r>
      <w:r>
        <w:rPr>
          <w:i/>
          <w:color w:val="C0504D" w:themeColor="accent2"/>
        </w:rPr>
        <w:t>CO2</w:t>
      </w:r>
      <w:r w:rsidRPr="002F7CC5">
        <w:rPr>
          <w:i/>
          <w:color w:val="C0504D" w:themeColor="accent2"/>
        </w:rPr>
        <w:t xml:space="preserve"> liées à l’activité humaine </w:t>
      </w:r>
      <w:r>
        <w:rPr>
          <w:i/>
          <w:color w:val="C0504D" w:themeColor="accent2"/>
        </w:rPr>
        <w:t xml:space="preserve">en 2013 </w:t>
      </w:r>
      <w:r w:rsidRPr="002F7CC5">
        <w:rPr>
          <w:i/>
          <w:color w:val="C0504D" w:themeColor="accent2"/>
        </w:rPr>
        <w:t>?</w:t>
      </w:r>
    </w:p>
    <w:p w:rsidR="00FE7FB9" w:rsidRDefault="00FE7FB9" w:rsidP="00FE7FB9">
      <w:pPr>
        <w:spacing w:after="0"/>
        <w:jc w:val="both"/>
        <w:rPr>
          <w:i/>
          <w:color w:val="C0504D" w:themeColor="accent2"/>
        </w:rPr>
      </w:pPr>
      <w:r>
        <w:rPr>
          <w:i/>
          <w:color w:val="C0504D" w:themeColor="accent2"/>
        </w:rPr>
        <w:t>Q2</w:t>
      </w:r>
      <w:r w:rsidRPr="002F7CC5">
        <w:rPr>
          <w:i/>
          <w:color w:val="C0504D" w:themeColor="accent2"/>
        </w:rPr>
        <w:t xml:space="preserve">. D’où proviennent les émissions de </w:t>
      </w:r>
      <w:r>
        <w:rPr>
          <w:i/>
          <w:color w:val="C0504D" w:themeColor="accent2"/>
        </w:rPr>
        <w:t>CO</w:t>
      </w:r>
      <w:r w:rsidRPr="002F7CC5">
        <w:rPr>
          <w:i/>
          <w:color w:val="C0504D" w:themeColor="accent2"/>
        </w:rPr>
        <w:t>2 ?</w:t>
      </w:r>
    </w:p>
    <w:p w:rsidR="00FE7FB9" w:rsidRDefault="00FE7FB9" w:rsidP="00FE7FB9">
      <w:pPr>
        <w:spacing w:after="0"/>
        <w:jc w:val="both"/>
        <w:rPr>
          <w:i/>
          <w:color w:val="C0504D" w:themeColor="accent2"/>
        </w:rPr>
      </w:pPr>
      <w:r>
        <w:rPr>
          <w:i/>
          <w:color w:val="C0504D" w:themeColor="accent2"/>
        </w:rPr>
        <w:t>Q3. Quel pays émet la plus grande quantité de CO</w:t>
      </w:r>
      <w:r w:rsidRPr="002F7CC5">
        <w:rPr>
          <w:i/>
          <w:color w:val="C0504D" w:themeColor="accent2"/>
        </w:rPr>
        <w:t>2 </w:t>
      </w:r>
      <w:r>
        <w:rPr>
          <w:i/>
          <w:color w:val="C0504D" w:themeColor="accent2"/>
        </w:rPr>
        <w:t xml:space="preserve">au monde </w:t>
      </w:r>
      <w:r w:rsidRPr="002F7CC5">
        <w:rPr>
          <w:i/>
          <w:color w:val="C0504D" w:themeColor="accent2"/>
        </w:rPr>
        <w:t>?</w:t>
      </w:r>
    </w:p>
    <w:p w:rsidR="00FE7FB9" w:rsidRPr="00C05E42" w:rsidRDefault="00FE7FB9" w:rsidP="00FE7FB9">
      <w:pPr>
        <w:spacing w:after="0"/>
        <w:jc w:val="both"/>
        <w:rPr>
          <w:i/>
          <w:color w:val="C0504D" w:themeColor="accent2"/>
        </w:rPr>
      </w:pPr>
      <w:r w:rsidRPr="00C05E42">
        <w:rPr>
          <w:i/>
          <w:color w:val="C0504D" w:themeColor="accent2"/>
        </w:rPr>
        <w:t>Q4. Si</w:t>
      </w:r>
      <w:r>
        <w:rPr>
          <w:i/>
          <w:color w:val="C0504D" w:themeColor="accent2"/>
        </w:rPr>
        <w:t xml:space="preserve"> on rapporte les émissions de CO</w:t>
      </w:r>
      <w:r w:rsidRPr="00C05E42">
        <w:rPr>
          <w:i/>
          <w:color w:val="C0504D" w:themeColor="accent2"/>
        </w:rPr>
        <w:t>2 à la population du pays, quel pays fait encore moins bien que le précédent ?</w:t>
      </w:r>
    </w:p>
    <w:p w:rsidR="00FE7FB9" w:rsidRDefault="00FE7FB9" w:rsidP="00FE7FB9">
      <w:pPr>
        <w:spacing w:after="0"/>
        <w:jc w:val="both"/>
        <w:rPr>
          <w:i/>
          <w:color w:val="C0504D" w:themeColor="accent2"/>
        </w:rPr>
      </w:pPr>
      <w:r>
        <w:rPr>
          <w:i/>
          <w:color w:val="C0504D" w:themeColor="accent2"/>
        </w:rPr>
        <w:t>Q5</w:t>
      </w:r>
      <w:r w:rsidRPr="002F7CC5">
        <w:rPr>
          <w:i/>
          <w:color w:val="C0504D" w:themeColor="accent2"/>
        </w:rPr>
        <w:t>. Comment e</w:t>
      </w:r>
      <w:r>
        <w:rPr>
          <w:i/>
          <w:color w:val="C0504D" w:themeColor="accent2"/>
        </w:rPr>
        <w:t>xpliquer que les émissions de CO</w:t>
      </w:r>
      <w:r w:rsidRPr="002F7CC5">
        <w:rPr>
          <w:i/>
          <w:color w:val="C0504D" w:themeColor="accent2"/>
        </w:rPr>
        <w:t xml:space="preserve">2 de la Chine </w:t>
      </w:r>
      <w:proofErr w:type="gramStart"/>
      <w:r w:rsidRPr="002F7CC5">
        <w:rPr>
          <w:i/>
          <w:color w:val="C0504D" w:themeColor="accent2"/>
        </w:rPr>
        <w:t>aient</w:t>
      </w:r>
      <w:proofErr w:type="gramEnd"/>
      <w:r w:rsidRPr="002F7CC5">
        <w:rPr>
          <w:i/>
          <w:color w:val="C0504D" w:themeColor="accent2"/>
        </w:rPr>
        <w:t xml:space="preserve"> ralenti ?</w:t>
      </w:r>
    </w:p>
    <w:p w:rsidR="00FE7FB9" w:rsidRPr="002F7CC5" w:rsidRDefault="00FE7FB9" w:rsidP="00FE7FB9">
      <w:pPr>
        <w:jc w:val="both"/>
        <w:rPr>
          <w:i/>
          <w:color w:val="C0504D" w:themeColor="accent2"/>
        </w:rPr>
      </w:pPr>
      <w:r>
        <w:rPr>
          <w:i/>
          <w:color w:val="C0504D" w:themeColor="accent2"/>
        </w:rPr>
        <w:t>Q6</w:t>
      </w:r>
      <w:r w:rsidRPr="002F7CC5">
        <w:rPr>
          <w:i/>
          <w:color w:val="C0504D" w:themeColor="accent2"/>
        </w:rPr>
        <w:t>. Quelle est la principale conséquence des émissions de GES dans l’atmosphère ?</w:t>
      </w:r>
    </w:p>
    <w:p w:rsidR="00FE7FB9" w:rsidRDefault="00FE7FB9" w:rsidP="00FE7FB9"/>
    <w:p w:rsidR="00FE7FB9" w:rsidRDefault="00FE7FB9" w:rsidP="00FE7FB9"/>
    <w:p w:rsidR="00C43162" w:rsidRDefault="00C43162" w:rsidP="00FE7FB9"/>
    <w:p w:rsidR="00C43162" w:rsidRDefault="00C43162" w:rsidP="00FE7FB9"/>
    <w:p w:rsidR="00FE7FB9" w:rsidRDefault="00FE7FB9" w:rsidP="00FE7FB9"/>
    <w:p w:rsidR="00FE7FB9" w:rsidRPr="00BC0C65" w:rsidRDefault="00FE7FB9" w:rsidP="00FE7FB9">
      <w:pPr>
        <w:pBdr>
          <w:top w:val="wave" w:sz="6" w:space="1" w:color="auto"/>
          <w:left w:val="wave" w:sz="6" w:space="4" w:color="auto"/>
          <w:bottom w:val="wave" w:sz="6" w:space="1" w:color="auto"/>
          <w:right w:val="wave" w:sz="6" w:space="4" w:color="auto"/>
        </w:pBdr>
      </w:pPr>
      <w:r w:rsidRPr="007C4B7D">
        <w:lastRenderedPageBreak/>
        <w:sym w:font="Wingdings" w:char="F026"/>
      </w:r>
      <w:r>
        <w:t xml:space="preserve"> Document B</w:t>
      </w:r>
    </w:p>
    <w:p w:rsidR="00FE7FB9" w:rsidRPr="00BC0C65" w:rsidRDefault="00FE7FB9" w:rsidP="00FE7FB9">
      <w:pPr>
        <w:pBdr>
          <w:top w:val="wave" w:sz="6" w:space="1" w:color="auto"/>
          <w:left w:val="wave" w:sz="6" w:space="4" w:color="auto"/>
          <w:bottom w:val="wave" w:sz="6" w:space="1" w:color="auto"/>
          <w:right w:val="wave" w:sz="6" w:space="4" w:color="auto"/>
        </w:pBdr>
        <w:jc w:val="both"/>
      </w:pPr>
      <w:r w:rsidRPr="00BC0C65">
        <w:t xml:space="preserve">Les humains mangent trop de poissons. Et leur appétit pour les produits de la mer est insatiable. Selon les chiffres du dernier rapport du </w:t>
      </w:r>
      <w:proofErr w:type="spellStart"/>
      <w:r w:rsidRPr="00BC0C65">
        <w:t>Worldwatch</w:t>
      </w:r>
      <w:proofErr w:type="spellEnd"/>
      <w:r w:rsidRPr="00BC0C65">
        <w:t xml:space="preserve"> Institute, en 2011, la production totale de poissons s’est élevée à 154 millions de tonnes, réparties entre les captures en mer - 90,4 millions de tonnes - et l’aquaculture, qui ne cesse de progresser depuis vingt-cinq ans, pour fournir environ 64 millions de tonnes à nos assiettes. Des chiffres en progression constante depuis des années et qui n’étonnent pas les spécialistes de la question.</w:t>
      </w:r>
      <w:r>
        <w:t xml:space="preserve"> </w:t>
      </w:r>
      <w:r w:rsidRPr="00BC0C65">
        <w:t>En 2011, les prises ont encore augmenté de 2% par rapport à celles de 2010. La consommation humaine de poissons a progressé de 14,4% en l’espace de cinq ans. Conséquence : «</w:t>
      </w:r>
      <w:r w:rsidRPr="00BC0C65">
        <w:rPr>
          <w:i/>
        </w:rPr>
        <w:t xml:space="preserve">On va de plus en plus en profondeur, de plus en plus loin, chercher de nouveaux stocks </w:t>
      </w:r>
      <w:r w:rsidRPr="00BC0C65">
        <w:t xml:space="preserve">», se désole Stéphan </w:t>
      </w:r>
      <w:proofErr w:type="spellStart"/>
      <w:r w:rsidRPr="00BC0C65">
        <w:t>Beaucher</w:t>
      </w:r>
      <w:proofErr w:type="spellEnd"/>
      <w:r w:rsidRPr="00BC0C65">
        <w:t xml:space="preserve">, de l’ONG </w:t>
      </w:r>
      <w:proofErr w:type="spellStart"/>
      <w:r w:rsidRPr="00BC0C65">
        <w:t>Ocean</w:t>
      </w:r>
      <w:proofErr w:type="spellEnd"/>
      <w:r w:rsidRPr="00BC0C65">
        <w:t> 2012.</w:t>
      </w:r>
    </w:p>
    <w:p w:rsidR="00FE7FB9" w:rsidRPr="00BC0C65" w:rsidRDefault="00FE7FB9" w:rsidP="00FE7FB9">
      <w:pPr>
        <w:pBdr>
          <w:top w:val="wave" w:sz="6" w:space="1" w:color="auto"/>
          <w:left w:val="wave" w:sz="6" w:space="4" w:color="auto"/>
          <w:bottom w:val="wave" w:sz="6" w:space="1" w:color="auto"/>
          <w:right w:val="wave" w:sz="6" w:space="4" w:color="auto"/>
        </w:pBdr>
        <w:jc w:val="both"/>
      </w:pPr>
      <w:r w:rsidRPr="00BC0C65">
        <w:t>La consommation de poissons d’élevage, elle, a décuplé depuis les années 70, progressant de 6,6% par an. «</w:t>
      </w:r>
      <w:r w:rsidRPr="003E510B">
        <w:rPr>
          <w:i/>
        </w:rPr>
        <w:t>L’aquaculture représentera 60% de la production d’ici à 2020</w:t>
      </w:r>
      <w:r w:rsidRPr="00BC0C65">
        <w:t xml:space="preserve">», prévient Danielle </w:t>
      </w:r>
      <w:proofErr w:type="spellStart"/>
      <w:r w:rsidRPr="00BC0C65">
        <w:t>Nierenberg</w:t>
      </w:r>
      <w:proofErr w:type="spellEnd"/>
      <w:r w:rsidRPr="00BC0C65">
        <w:t xml:space="preserve">, auteure du rapport du </w:t>
      </w:r>
      <w:proofErr w:type="spellStart"/>
      <w:r w:rsidRPr="00BC0C65">
        <w:t>Worldwatch</w:t>
      </w:r>
      <w:proofErr w:type="spellEnd"/>
      <w:r w:rsidRPr="00BC0C65">
        <w:t xml:space="preserve"> Institute. Petit hic, cette pratique n’est pas anodine. «</w:t>
      </w:r>
      <w:r w:rsidRPr="00BC0C65">
        <w:rPr>
          <w:i/>
        </w:rPr>
        <w:t>En dépit de son potentiel pour nourrir une population toujours grandissante à des coûts abordables, l’aquaculture contribue aussi à la destruction des habitats, à la production de déchets, à la prolifération d’espèces invasives et pathogènes et à la déplétion du stock de poissons dans les océans</w:t>
      </w:r>
      <w:r w:rsidRPr="00BC0C65">
        <w:t>.» En effet, les saumons ou thons d’élevage se nourrissent… de poissons : produire un kilo de saumon ou de thon impose de pêcher dix à quinze kilos de petits poissons pélagiques.</w:t>
      </w:r>
    </w:p>
    <w:p w:rsidR="00FE7FB9" w:rsidRPr="00BC0C65" w:rsidRDefault="00FE7FB9" w:rsidP="00FE7FB9">
      <w:pPr>
        <w:pBdr>
          <w:top w:val="wave" w:sz="6" w:space="1" w:color="auto"/>
          <w:left w:val="wave" w:sz="6" w:space="4" w:color="auto"/>
          <w:bottom w:val="wave" w:sz="6" w:space="1" w:color="auto"/>
          <w:right w:val="wave" w:sz="6" w:space="4" w:color="auto"/>
        </w:pBdr>
        <w:jc w:val="both"/>
      </w:pPr>
      <w:r w:rsidRPr="00BC0C65">
        <w:t>En 2009, près de 60% des pêcheries dans le monde frôlaient le maximum de leurs capacités. «</w:t>
      </w:r>
      <w:r w:rsidRPr="00BC0C65">
        <w:rPr>
          <w:i/>
        </w:rPr>
        <w:t>Cela signifie que leurs prises actuelles sont proches de leur récolte maximale soutenable, </w:t>
      </w:r>
      <w:r w:rsidRPr="009F7D4D">
        <w:t xml:space="preserve">explique </w:t>
      </w:r>
      <w:proofErr w:type="spellStart"/>
      <w:r w:rsidRPr="009F7D4D">
        <w:t>Nierenberg</w:t>
      </w:r>
      <w:proofErr w:type="spellEnd"/>
      <w:r w:rsidRPr="00BC0C65">
        <w:rPr>
          <w:i/>
        </w:rPr>
        <w:t xml:space="preserve">, et qu’elles ne peuvent pas se développer. </w:t>
      </w:r>
      <w:r w:rsidRPr="00BC0C65">
        <w:t>» C’est en Asie que se consomment les deux tiers des poissons pêchés ou issus des fermes aquacoles. Mais c’est aussi en Asie que l’on a produit les trois quarts de la production mondiale en 2010 (121,3 millions de tonnes). L’Europe, pour sa part, ne fournit que 9,7% - plus de 16 millions de tonnes - du total des poissons consommés dans le monde. Or, les Européens engloutissent des quantités de poissons bien supérieures.</w:t>
      </w:r>
    </w:p>
    <w:p w:rsidR="00FE7FB9" w:rsidRPr="00BC0C65" w:rsidRDefault="00FE7FB9" w:rsidP="00FE7FB9">
      <w:pPr>
        <w:pBdr>
          <w:top w:val="wave" w:sz="6" w:space="1" w:color="auto"/>
          <w:left w:val="wave" w:sz="6" w:space="4" w:color="auto"/>
          <w:bottom w:val="wave" w:sz="6" w:space="1" w:color="auto"/>
          <w:right w:val="wave" w:sz="6" w:space="4" w:color="auto"/>
        </w:pBdr>
        <w:jc w:val="both"/>
      </w:pPr>
      <w:r w:rsidRPr="00BC0C65">
        <w:t>Voilà pourquoi nombre de pêcheries européennes, mais aussi russes ou saoudiennes, partent jeter leurs filets au large des côtes africaines</w:t>
      </w:r>
      <w:r>
        <w:t xml:space="preserve">. </w:t>
      </w:r>
      <w:r w:rsidRPr="00BC0C65">
        <w:t>Ils disposent de bateaux-usines ultra</w:t>
      </w:r>
      <w:r>
        <w:t xml:space="preserve"> </w:t>
      </w:r>
      <w:r w:rsidRPr="00BC0C65">
        <w:t>compétitifs, capables de pêcher plusieurs centaines de tonnes de poissons par jour, mais aussi de transformer et de conserver jusqu’à 10 000 tonnes dans leurs frigos de bord, durant des mois.</w:t>
      </w:r>
      <w:r>
        <w:t xml:space="preserve"> </w:t>
      </w:r>
      <w:r w:rsidRPr="00BC0C65">
        <w:t>«</w:t>
      </w:r>
      <w:r w:rsidRPr="00BC0C65">
        <w:rPr>
          <w:i/>
        </w:rPr>
        <w:t>Les effets de la surpêche de nos propres stocks halieutiques sur les côtes de l’Union européenne, et donc de la disponibilité du poisson sur les marchés et les étals des supermarchés, sont masqués par les poissons importés d’autres régions du monde</w:t>
      </w:r>
      <w:r w:rsidRPr="00BC0C65">
        <w:t xml:space="preserve">», rappelle Stéphan </w:t>
      </w:r>
      <w:proofErr w:type="spellStart"/>
      <w:r w:rsidRPr="00BC0C65">
        <w:t>Beaucher</w:t>
      </w:r>
      <w:proofErr w:type="spellEnd"/>
      <w:r w:rsidRPr="00BC0C65">
        <w:t>.</w:t>
      </w:r>
      <w:r>
        <w:t xml:space="preserve"> </w:t>
      </w:r>
      <w:r w:rsidRPr="00BC0C65">
        <w:t xml:space="preserve">D’après un rapport de la New </w:t>
      </w:r>
      <w:proofErr w:type="spellStart"/>
      <w:r w:rsidRPr="00BC0C65">
        <w:t>Economics</w:t>
      </w:r>
      <w:proofErr w:type="spellEnd"/>
      <w:r>
        <w:t xml:space="preserve"> </w:t>
      </w:r>
      <w:proofErr w:type="spellStart"/>
      <w:r w:rsidRPr="00BC0C65">
        <w:t>Foundation</w:t>
      </w:r>
      <w:proofErr w:type="spellEnd"/>
      <w:r w:rsidRPr="00BC0C65">
        <w:t xml:space="preserve"> (NEF), si la France avait dû compter cette année sur sa seule production (pêche et élevage) pour alimenter son marché intérieur, il n’y aurait plus eu de poissons dans nos assiettes dès le 21 mai…</w:t>
      </w:r>
    </w:p>
    <w:p w:rsidR="00FE7FB9" w:rsidRPr="00F55839" w:rsidRDefault="00FE7FB9" w:rsidP="00FE7FB9">
      <w:pPr>
        <w:pBdr>
          <w:top w:val="wave" w:sz="6" w:space="1" w:color="auto"/>
          <w:left w:val="wave" w:sz="6" w:space="4" w:color="auto"/>
          <w:bottom w:val="wave" w:sz="6" w:space="1" w:color="auto"/>
          <w:right w:val="wave" w:sz="6" w:space="4" w:color="auto"/>
        </w:pBdr>
        <w:spacing w:after="0"/>
        <w:jc w:val="right"/>
        <w:rPr>
          <w:b/>
        </w:rPr>
      </w:pPr>
      <w:r w:rsidRPr="00F55839">
        <w:rPr>
          <w:b/>
        </w:rPr>
        <w:t xml:space="preserve">Laure NOUALHAT, « La surpêche touche les fonds », </w:t>
      </w:r>
      <w:hyperlink r:id="rId16" w:history="1">
        <w:r w:rsidRPr="00F55839">
          <w:rPr>
            <w:rStyle w:val="Lienhypertexte"/>
            <w:b/>
          </w:rPr>
          <w:t>www.leberation.fr</w:t>
        </w:r>
      </w:hyperlink>
      <w:r w:rsidRPr="00F55839">
        <w:rPr>
          <w:b/>
        </w:rPr>
        <w:t>, 27 août 2012</w:t>
      </w:r>
    </w:p>
    <w:p w:rsidR="00FE7FB9" w:rsidRPr="00F55839" w:rsidRDefault="00183B06" w:rsidP="00FE7FB9">
      <w:pPr>
        <w:pBdr>
          <w:top w:val="wave" w:sz="6" w:space="1" w:color="auto"/>
          <w:left w:val="wave" w:sz="6" w:space="4" w:color="auto"/>
          <w:bottom w:val="wave" w:sz="6" w:space="1" w:color="auto"/>
          <w:right w:val="wave" w:sz="6" w:space="4" w:color="auto"/>
        </w:pBdr>
        <w:jc w:val="right"/>
        <w:rPr>
          <w:b/>
        </w:rPr>
      </w:pPr>
      <w:hyperlink r:id="rId17" w:history="1">
        <w:r w:rsidR="00FE7FB9" w:rsidRPr="00F55839">
          <w:rPr>
            <w:rStyle w:val="Lienhypertexte"/>
            <w:b/>
          </w:rPr>
          <w:t>http://www.liberation.fr/terre/2012/08/27/la-surpeche-touche-les-fonds_842184</w:t>
        </w:r>
      </w:hyperlink>
    </w:p>
    <w:p w:rsidR="00FE7FB9" w:rsidRPr="00C21798" w:rsidRDefault="00FE7FB9" w:rsidP="00FE7FB9">
      <w:pPr>
        <w:spacing w:after="0"/>
        <w:jc w:val="both"/>
        <w:rPr>
          <w:i/>
          <w:color w:val="C0504D" w:themeColor="accent2"/>
        </w:rPr>
      </w:pPr>
      <w:r w:rsidRPr="00C21798">
        <w:rPr>
          <w:i/>
          <w:color w:val="C0504D" w:themeColor="accent2"/>
        </w:rPr>
        <w:t>Q1. Quelle est l’ampleur de</w:t>
      </w:r>
      <w:r>
        <w:rPr>
          <w:i/>
          <w:color w:val="C0504D" w:themeColor="accent2"/>
        </w:rPr>
        <w:t xml:space="preserve"> la</w:t>
      </w:r>
      <w:r w:rsidRPr="00C21798">
        <w:rPr>
          <w:i/>
          <w:color w:val="C0504D" w:themeColor="accent2"/>
        </w:rPr>
        <w:t xml:space="preserve"> production</w:t>
      </w:r>
      <w:r>
        <w:rPr>
          <w:i/>
          <w:color w:val="C0504D" w:themeColor="accent2"/>
        </w:rPr>
        <w:t xml:space="preserve"> mondiale</w:t>
      </w:r>
      <w:r w:rsidRPr="00C21798">
        <w:rPr>
          <w:i/>
          <w:color w:val="C0504D" w:themeColor="accent2"/>
        </w:rPr>
        <w:t xml:space="preserve"> de poissons </w:t>
      </w:r>
      <w:r>
        <w:rPr>
          <w:i/>
          <w:color w:val="C0504D" w:themeColor="accent2"/>
        </w:rPr>
        <w:t xml:space="preserve">et de quoi est-elle composée </w:t>
      </w:r>
      <w:r w:rsidRPr="00C21798">
        <w:rPr>
          <w:i/>
          <w:color w:val="C0504D" w:themeColor="accent2"/>
        </w:rPr>
        <w:t>?</w:t>
      </w:r>
    </w:p>
    <w:p w:rsidR="00FE7FB9" w:rsidRDefault="00FE7FB9" w:rsidP="00FE7FB9">
      <w:pPr>
        <w:spacing w:after="0"/>
        <w:jc w:val="both"/>
        <w:rPr>
          <w:i/>
          <w:color w:val="C0504D" w:themeColor="accent2"/>
        </w:rPr>
      </w:pPr>
      <w:r w:rsidRPr="003E510B">
        <w:rPr>
          <w:i/>
          <w:color w:val="C0504D" w:themeColor="accent2"/>
        </w:rPr>
        <w:t>Q2.</w:t>
      </w:r>
      <w:r>
        <w:rPr>
          <w:i/>
          <w:color w:val="C0504D" w:themeColor="accent2"/>
        </w:rPr>
        <w:t>Comment évolue la demande mondiale de poissons et qui en consomme le plus ?</w:t>
      </w:r>
    </w:p>
    <w:p w:rsidR="00FE7FB9" w:rsidRPr="009F7D4D" w:rsidRDefault="00FE7FB9" w:rsidP="00FE7FB9">
      <w:pPr>
        <w:spacing w:after="0"/>
        <w:jc w:val="both"/>
        <w:rPr>
          <w:i/>
          <w:color w:val="C0504D" w:themeColor="accent2"/>
        </w:rPr>
      </w:pPr>
      <w:r w:rsidRPr="009F7D4D">
        <w:rPr>
          <w:i/>
          <w:color w:val="C0504D" w:themeColor="accent2"/>
        </w:rPr>
        <w:t>Q3. Que doivent faire les producteurs de poisson pour satisfaire la demande mondiale de poissons</w:t>
      </w:r>
      <w:r>
        <w:rPr>
          <w:i/>
          <w:color w:val="C0504D" w:themeColor="accent2"/>
        </w:rPr>
        <w:t> ?</w:t>
      </w:r>
    </w:p>
    <w:p w:rsidR="00FE7FB9" w:rsidRDefault="00FE7FB9" w:rsidP="00FE7FB9">
      <w:pPr>
        <w:spacing w:after="0"/>
        <w:jc w:val="both"/>
        <w:rPr>
          <w:i/>
          <w:color w:val="C0504D" w:themeColor="accent2"/>
        </w:rPr>
      </w:pPr>
      <w:r w:rsidRPr="009F7D4D">
        <w:rPr>
          <w:i/>
          <w:color w:val="C0504D" w:themeColor="accent2"/>
        </w:rPr>
        <w:t xml:space="preserve">Q4. </w:t>
      </w:r>
      <w:r>
        <w:rPr>
          <w:i/>
          <w:color w:val="C0504D" w:themeColor="accent2"/>
        </w:rPr>
        <w:t>Pourquoi les européens n’ont-ils pas l’impression que les ressources de poissons s’épuisent ?</w:t>
      </w:r>
    </w:p>
    <w:p w:rsidR="00FE7FB9" w:rsidRPr="009F7D4D" w:rsidRDefault="00FE7FB9" w:rsidP="00FE7FB9">
      <w:pPr>
        <w:jc w:val="both"/>
        <w:rPr>
          <w:i/>
          <w:color w:val="C0504D" w:themeColor="accent2"/>
        </w:rPr>
      </w:pPr>
      <w:r>
        <w:rPr>
          <w:i/>
          <w:color w:val="C0504D" w:themeColor="accent2"/>
        </w:rPr>
        <w:t xml:space="preserve">Q5. </w:t>
      </w:r>
      <w:r w:rsidRPr="009F7D4D">
        <w:rPr>
          <w:i/>
          <w:color w:val="C0504D" w:themeColor="accent2"/>
        </w:rPr>
        <w:t xml:space="preserve">Pourquoi l’aquaculture </w:t>
      </w:r>
      <w:r>
        <w:rPr>
          <w:i/>
          <w:color w:val="C0504D" w:themeColor="accent2"/>
        </w:rPr>
        <w:t>n’est pas forcément une solution à la surpêche ?</w:t>
      </w:r>
    </w:p>
    <w:p w:rsidR="00FE7FB9" w:rsidRDefault="00FE7FB9" w:rsidP="00FE7FB9">
      <w:pPr>
        <w:pStyle w:val="Paragraphedeliste"/>
        <w:jc w:val="both"/>
      </w:pPr>
    </w:p>
    <w:p w:rsidR="00FE7FB9" w:rsidRDefault="00FE7FB9" w:rsidP="00FE7FB9">
      <w:pPr>
        <w:pStyle w:val="Paragraphedeliste"/>
        <w:jc w:val="both"/>
      </w:pPr>
    </w:p>
    <w:p w:rsidR="00FE7FB9" w:rsidRDefault="00FE7FB9" w:rsidP="00FE7FB9">
      <w:pPr>
        <w:pStyle w:val="Paragraphedeliste"/>
        <w:jc w:val="both"/>
      </w:pPr>
    </w:p>
    <w:p w:rsidR="00FE7FB9" w:rsidRDefault="00FE7FB9" w:rsidP="00FE7FB9">
      <w:pPr>
        <w:pStyle w:val="Paragraphedeliste"/>
        <w:jc w:val="both"/>
      </w:pPr>
    </w:p>
    <w:p w:rsidR="00FE7FB9" w:rsidRDefault="00FE7FB9" w:rsidP="00FE7FB9">
      <w:pPr>
        <w:pStyle w:val="Paragraphedeliste"/>
        <w:jc w:val="both"/>
      </w:pPr>
    </w:p>
    <w:p w:rsidR="00FE7FB9" w:rsidRDefault="00FE7FB9" w:rsidP="00FE7FB9">
      <w:pPr>
        <w:pStyle w:val="Paragraphedeliste"/>
        <w:jc w:val="both"/>
      </w:pPr>
    </w:p>
    <w:p w:rsidR="00FE7FB9" w:rsidRDefault="00FE7FB9" w:rsidP="00FE7FB9">
      <w:pPr>
        <w:rPr>
          <w:b/>
        </w:rPr>
      </w:pPr>
    </w:p>
    <w:p w:rsidR="00FE7FB9" w:rsidRDefault="00FE7FB9" w:rsidP="00FE7FB9">
      <w:pPr>
        <w:pBdr>
          <w:top w:val="wave" w:sz="6" w:space="1" w:color="auto"/>
          <w:left w:val="wave" w:sz="6" w:space="4" w:color="auto"/>
          <w:bottom w:val="wave" w:sz="6" w:space="1" w:color="auto"/>
          <w:right w:val="wave" w:sz="6" w:space="4" w:color="auto"/>
        </w:pBdr>
        <w:jc w:val="both"/>
      </w:pPr>
      <w:r w:rsidRPr="007C4B7D">
        <w:lastRenderedPageBreak/>
        <w:sym w:font="Wingdings" w:char="F026"/>
      </w:r>
      <w:r>
        <w:t xml:space="preserve"> Document C</w:t>
      </w:r>
    </w:p>
    <w:p w:rsidR="00FE7FB9" w:rsidRDefault="00FE7FB9" w:rsidP="00FE7FB9">
      <w:pPr>
        <w:pBdr>
          <w:top w:val="wave" w:sz="6" w:space="1" w:color="auto"/>
          <w:left w:val="wave" w:sz="6" w:space="4" w:color="auto"/>
          <w:bottom w:val="wave" w:sz="6" w:space="1" w:color="auto"/>
          <w:right w:val="wave" w:sz="6" w:space="4" w:color="auto"/>
        </w:pBdr>
        <w:spacing w:after="0"/>
        <w:jc w:val="center"/>
      </w:pPr>
      <w:r>
        <w:rPr>
          <w:noProof/>
          <w:lang w:eastAsia="fr-FR"/>
        </w:rPr>
        <w:drawing>
          <wp:inline distT="0" distB="0" distL="0" distR="0" wp14:anchorId="6CED6CC7" wp14:editId="6B730CEB">
            <wp:extent cx="6649554" cy="2838616"/>
            <wp:effectExtent l="19050" t="0" r="0" b="0"/>
            <wp:docPr id="5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b="6544"/>
                    <a:stretch>
                      <a:fillRect/>
                    </a:stretch>
                  </pic:blipFill>
                  <pic:spPr bwMode="auto">
                    <a:xfrm>
                      <a:off x="0" y="0"/>
                      <a:ext cx="6649554" cy="2838616"/>
                    </a:xfrm>
                    <a:prstGeom prst="rect">
                      <a:avLst/>
                    </a:prstGeom>
                    <a:noFill/>
                    <a:ln w="9525">
                      <a:noFill/>
                      <a:miter lim="800000"/>
                      <a:headEnd/>
                      <a:tailEnd/>
                    </a:ln>
                  </pic:spPr>
                </pic:pic>
              </a:graphicData>
            </a:graphic>
          </wp:inline>
        </w:drawing>
      </w:r>
    </w:p>
    <w:p w:rsidR="00FE7FB9" w:rsidRPr="005B2792" w:rsidRDefault="00FE7FB9" w:rsidP="00FE7FB9">
      <w:pPr>
        <w:pBdr>
          <w:top w:val="wave" w:sz="6" w:space="1" w:color="auto"/>
          <w:left w:val="wave" w:sz="6" w:space="4" w:color="auto"/>
          <w:bottom w:val="wave" w:sz="6" w:space="1" w:color="auto"/>
          <w:right w:val="wave" w:sz="6" w:space="4" w:color="auto"/>
        </w:pBdr>
        <w:spacing w:after="0"/>
        <w:jc w:val="center"/>
        <w:rPr>
          <w:sz w:val="20"/>
          <w:szCs w:val="20"/>
        </w:rPr>
      </w:pPr>
      <w:r w:rsidRPr="005B2792">
        <w:rPr>
          <w:sz w:val="20"/>
          <w:szCs w:val="20"/>
        </w:rPr>
        <w:t>Autres renouvelables : solaire thermique, géothermie, biogaz</w:t>
      </w:r>
    </w:p>
    <w:p w:rsidR="00FE7FB9" w:rsidRPr="005B2792" w:rsidRDefault="00FE7FB9" w:rsidP="00FE7FB9">
      <w:pPr>
        <w:pBdr>
          <w:top w:val="wave" w:sz="6" w:space="1" w:color="auto"/>
          <w:left w:val="wave" w:sz="6" w:space="4" w:color="auto"/>
          <w:bottom w:val="wave" w:sz="6" w:space="1" w:color="auto"/>
          <w:right w:val="wave" w:sz="6" w:space="4" w:color="auto"/>
        </w:pBdr>
        <w:jc w:val="center"/>
        <w:rPr>
          <w:rFonts w:cstheme="minorHAnsi"/>
          <w:sz w:val="20"/>
          <w:szCs w:val="20"/>
        </w:rPr>
      </w:pPr>
      <w:r w:rsidRPr="005B2792">
        <w:rPr>
          <w:rFonts w:cstheme="minorHAnsi"/>
          <w:sz w:val="20"/>
          <w:szCs w:val="20"/>
        </w:rPr>
        <w:t>MTEP (millions de tonnes d’équivalent pétrole) : quantité d’énergie contenue dans une tonne de pétrole</w:t>
      </w:r>
    </w:p>
    <w:p w:rsidR="00FE7FB9" w:rsidRPr="00532E80" w:rsidRDefault="00FE7FB9" w:rsidP="00FE7FB9">
      <w:pPr>
        <w:pBdr>
          <w:top w:val="wave" w:sz="6" w:space="1" w:color="auto"/>
          <w:left w:val="wave" w:sz="6" w:space="4" w:color="auto"/>
          <w:bottom w:val="wave" w:sz="6" w:space="1" w:color="auto"/>
          <w:right w:val="wave" w:sz="6" w:space="4" w:color="auto"/>
        </w:pBdr>
        <w:jc w:val="center"/>
        <w:rPr>
          <w:rFonts w:cstheme="minorHAnsi"/>
          <w:sz w:val="20"/>
        </w:rPr>
      </w:pPr>
      <w:r>
        <w:rPr>
          <w:rFonts w:cstheme="minorHAnsi"/>
          <w:noProof/>
          <w:sz w:val="20"/>
          <w:lang w:eastAsia="fr-FR"/>
        </w:rPr>
        <mc:AlternateContent>
          <mc:Choice Requires="wps">
            <w:drawing>
              <wp:anchor distT="0" distB="0" distL="114300" distR="114300" simplePos="0" relativeHeight="251714560" behindDoc="0" locked="0" layoutInCell="1" allowOverlap="1" wp14:anchorId="05259CEF" wp14:editId="0F02267D">
                <wp:simplePos x="0" y="0"/>
                <wp:positionH relativeFrom="column">
                  <wp:posOffset>1475105</wp:posOffset>
                </wp:positionH>
                <wp:positionV relativeFrom="paragraph">
                  <wp:posOffset>1251585</wp:posOffset>
                </wp:positionV>
                <wp:extent cx="349885" cy="254635"/>
                <wp:effectExtent l="0" t="0" r="12065" b="12065"/>
                <wp:wrapNone/>
                <wp:docPr id="1"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85" cy="254635"/>
                        </a:xfrm>
                        <a:prstGeom prst="ellipse">
                          <a:avLst/>
                        </a:prstGeom>
                        <a:noFill/>
                        <a:ln w="190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26" style="position:absolute;margin-left:116.15pt;margin-top:98.55pt;width:27.55pt;height:20.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" filled="f" strokecolor="black [3213]" strokeweight="1.5pt"/>
            </w:pict>
          </mc:Fallback>
        </mc:AlternateContent>
      </w:r>
      <w:r>
        <w:rPr>
          <w:rFonts w:cstheme="minorHAnsi"/>
          <w:noProof/>
          <w:sz w:val="20"/>
          <w:lang w:eastAsia="fr-FR"/>
        </w:rPr>
        <w:drawing>
          <wp:inline distT="0" distB="0" distL="0" distR="0" wp14:anchorId="608B3C96" wp14:editId="58A022A7">
            <wp:extent cx="6649554" cy="1804946"/>
            <wp:effectExtent l="19050" t="0" r="0" b="0"/>
            <wp:docPr id="5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b="12355"/>
                    <a:stretch>
                      <a:fillRect/>
                    </a:stretch>
                  </pic:blipFill>
                  <pic:spPr bwMode="auto">
                    <a:xfrm>
                      <a:off x="0" y="0"/>
                      <a:ext cx="6649554" cy="1804946"/>
                    </a:xfrm>
                    <a:prstGeom prst="rect">
                      <a:avLst/>
                    </a:prstGeom>
                    <a:noFill/>
                    <a:ln w="9525">
                      <a:noFill/>
                      <a:miter lim="800000"/>
                      <a:headEnd/>
                      <a:tailEnd/>
                    </a:ln>
                  </pic:spPr>
                </pic:pic>
              </a:graphicData>
            </a:graphic>
          </wp:inline>
        </w:drawing>
      </w:r>
    </w:p>
    <w:p w:rsidR="00FE7FB9" w:rsidRPr="00532E80" w:rsidRDefault="00FE7FB9" w:rsidP="00FE7FB9">
      <w:pPr>
        <w:pBdr>
          <w:top w:val="wave" w:sz="6" w:space="1" w:color="auto"/>
          <w:left w:val="wave" w:sz="6" w:space="4" w:color="auto"/>
          <w:bottom w:val="wave" w:sz="6" w:space="1" w:color="auto"/>
          <w:right w:val="wave" w:sz="6" w:space="4" w:color="auto"/>
        </w:pBdr>
        <w:spacing w:after="0"/>
        <w:jc w:val="right"/>
        <w:rPr>
          <w:rFonts w:cstheme="minorHAnsi"/>
          <w:b/>
        </w:rPr>
      </w:pPr>
      <w:r w:rsidRPr="00532E80">
        <w:rPr>
          <w:rFonts w:cstheme="minorHAnsi"/>
          <w:b/>
        </w:rPr>
        <w:t xml:space="preserve">Commissariat général au développement durable, « Les chiffres clés de l’énergie », </w:t>
      </w:r>
      <w:hyperlink r:id="rId20" w:history="1">
        <w:r w:rsidRPr="00532E80">
          <w:rPr>
            <w:rStyle w:val="Lienhypertexte"/>
            <w:rFonts w:cstheme="minorHAnsi"/>
            <w:b/>
          </w:rPr>
          <w:t>www.developpement-durable.gouv.fr</w:t>
        </w:r>
      </w:hyperlink>
      <w:r>
        <w:rPr>
          <w:rFonts w:cstheme="minorHAnsi"/>
          <w:b/>
        </w:rPr>
        <w:t>, Edition 2014</w:t>
      </w:r>
    </w:p>
    <w:p w:rsidR="00FE7FB9" w:rsidRPr="005B2792" w:rsidRDefault="00183B06" w:rsidP="00FE7FB9">
      <w:pPr>
        <w:pBdr>
          <w:top w:val="wave" w:sz="6" w:space="1" w:color="auto"/>
          <w:left w:val="wave" w:sz="6" w:space="4" w:color="auto"/>
          <w:bottom w:val="wave" w:sz="6" w:space="1" w:color="auto"/>
          <w:right w:val="wave" w:sz="6" w:space="4" w:color="auto"/>
        </w:pBdr>
        <w:jc w:val="right"/>
        <w:rPr>
          <w:b/>
        </w:rPr>
      </w:pPr>
      <w:hyperlink r:id="rId21" w:history="1">
        <w:r w:rsidR="00FE7FB9" w:rsidRPr="005B2792">
          <w:rPr>
            <w:rStyle w:val="Lienhypertexte"/>
            <w:b/>
          </w:rPr>
          <w:t>http://www.developpement-durable.gouv.fr/Les-chiffres-cles-de-l-energie-en.html</w:t>
        </w:r>
      </w:hyperlink>
    </w:p>
    <w:p w:rsidR="00FE7FB9" w:rsidRDefault="00FE7FB9" w:rsidP="00FC35D8">
      <w:pPr>
        <w:spacing w:after="0"/>
        <w:jc w:val="both"/>
        <w:rPr>
          <w:i/>
          <w:color w:val="C0504D" w:themeColor="accent2"/>
        </w:rPr>
      </w:pPr>
      <w:r w:rsidRPr="007C4B7D">
        <w:rPr>
          <w:i/>
          <w:color w:val="C0504D" w:themeColor="accent2"/>
        </w:rPr>
        <w:t xml:space="preserve">Q1. </w:t>
      </w:r>
      <w:r>
        <w:rPr>
          <w:i/>
          <w:color w:val="C0504D" w:themeColor="accent2"/>
        </w:rPr>
        <w:t>Comment a évolué la production française d’énergies renouvelables entre 1970 et 2013 ?</w:t>
      </w:r>
    </w:p>
    <w:p w:rsidR="00FE7FB9" w:rsidRDefault="00FE7FB9" w:rsidP="00FC35D8">
      <w:pPr>
        <w:spacing w:after="0"/>
        <w:jc w:val="both"/>
        <w:rPr>
          <w:i/>
          <w:color w:val="C0504D" w:themeColor="accent2"/>
        </w:rPr>
      </w:pPr>
      <w:r>
        <w:rPr>
          <w:i/>
          <w:color w:val="C0504D" w:themeColor="accent2"/>
        </w:rPr>
        <w:t>Q2. Parmi elles, lesquelles se développent de plus en plus ?</w:t>
      </w:r>
    </w:p>
    <w:p w:rsidR="00FE7FB9" w:rsidRDefault="00FE7FB9" w:rsidP="00FC35D8">
      <w:pPr>
        <w:spacing w:after="0"/>
        <w:jc w:val="both"/>
        <w:rPr>
          <w:i/>
          <w:color w:val="C0504D" w:themeColor="accent2"/>
        </w:rPr>
      </w:pPr>
      <w:r>
        <w:rPr>
          <w:i/>
          <w:color w:val="C0504D" w:themeColor="accent2"/>
        </w:rPr>
        <w:t>Q3. Faites une phrase avec le chiffre entouré.</w:t>
      </w:r>
    </w:p>
    <w:p w:rsidR="00FE7FB9" w:rsidRDefault="00FE7FB9" w:rsidP="00FC35D8">
      <w:pPr>
        <w:spacing w:after="0"/>
        <w:jc w:val="both"/>
        <w:rPr>
          <w:i/>
          <w:color w:val="C0504D" w:themeColor="accent2"/>
        </w:rPr>
      </w:pPr>
      <w:r>
        <w:rPr>
          <w:i/>
          <w:color w:val="C0504D" w:themeColor="accent2"/>
        </w:rPr>
        <w:t>Q4. Que peut-on dire sur la propreté des nouveaux véhicules ?</w:t>
      </w:r>
    </w:p>
    <w:p w:rsidR="00FE7FB9" w:rsidRDefault="00FE7FB9" w:rsidP="00FE7FB9">
      <w:pPr>
        <w:jc w:val="both"/>
        <w:rPr>
          <w:i/>
          <w:color w:val="C0504D" w:themeColor="accent2"/>
        </w:rPr>
      </w:pPr>
      <w:r>
        <w:rPr>
          <w:i/>
          <w:color w:val="C0504D" w:themeColor="accent2"/>
        </w:rPr>
        <w:t>Q5. En quoi ces documents montrent que la croissance est compatible avec l’environnement ?</w:t>
      </w:r>
    </w:p>
    <w:p w:rsidR="00FC35D8" w:rsidRDefault="00FC35D8" w:rsidP="00FE7FB9">
      <w:pPr>
        <w:jc w:val="both"/>
        <w:rPr>
          <w:i/>
          <w:color w:val="C0504D" w:themeColor="accent2"/>
        </w:rPr>
      </w:pPr>
    </w:p>
    <w:p w:rsidR="00FC35D8" w:rsidRDefault="00FC35D8" w:rsidP="00FE7FB9">
      <w:pPr>
        <w:jc w:val="both"/>
        <w:rPr>
          <w:i/>
          <w:color w:val="C0504D" w:themeColor="accent2"/>
        </w:rPr>
      </w:pPr>
    </w:p>
    <w:p w:rsidR="00C43162" w:rsidRDefault="00C43162" w:rsidP="00FE7FB9">
      <w:pPr>
        <w:jc w:val="both"/>
        <w:rPr>
          <w:i/>
          <w:color w:val="C0504D" w:themeColor="accent2"/>
        </w:rPr>
      </w:pPr>
    </w:p>
    <w:p w:rsidR="00C43162" w:rsidRDefault="00C43162" w:rsidP="00FE7FB9">
      <w:pPr>
        <w:jc w:val="both"/>
        <w:rPr>
          <w:i/>
          <w:color w:val="C0504D" w:themeColor="accent2"/>
        </w:rPr>
      </w:pPr>
    </w:p>
    <w:p w:rsidR="00C43162" w:rsidRDefault="00C43162" w:rsidP="00FE7FB9">
      <w:pPr>
        <w:jc w:val="both"/>
        <w:rPr>
          <w:i/>
          <w:color w:val="C0504D" w:themeColor="accent2"/>
        </w:rPr>
      </w:pPr>
    </w:p>
    <w:p w:rsidR="00C43162" w:rsidRDefault="00C43162" w:rsidP="00FE7FB9">
      <w:pPr>
        <w:jc w:val="both"/>
        <w:rPr>
          <w:i/>
          <w:color w:val="C0504D" w:themeColor="accent2"/>
        </w:rPr>
      </w:pPr>
    </w:p>
    <w:p w:rsidR="00FC35D8" w:rsidRDefault="00FC35D8" w:rsidP="00FE7FB9">
      <w:pPr>
        <w:jc w:val="both"/>
        <w:rPr>
          <w:i/>
          <w:color w:val="C0504D" w:themeColor="accent2"/>
        </w:rPr>
      </w:pPr>
    </w:p>
    <w:p w:rsidR="00FE7FB9" w:rsidRDefault="00FE7FB9" w:rsidP="00FE7FB9">
      <w:pPr>
        <w:pBdr>
          <w:top w:val="wave" w:sz="6" w:space="1" w:color="auto"/>
          <w:left w:val="wave" w:sz="6" w:space="4" w:color="auto"/>
          <w:bottom w:val="wave" w:sz="6" w:space="0" w:color="auto"/>
          <w:right w:val="wave" w:sz="6" w:space="4" w:color="auto"/>
        </w:pBdr>
        <w:jc w:val="both"/>
      </w:pPr>
      <w:r w:rsidRPr="00032E75">
        <w:lastRenderedPageBreak/>
        <w:sym w:font="Wingdings" w:char="F026"/>
      </w:r>
      <w:r w:rsidRPr="00032E75">
        <w:t xml:space="preserve"> Document D </w:t>
      </w:r>
    </w:p>
    <w:p w:rsidR="00FE7FB9" w:rsidRDefault="00FE7FB9" w:rsidP="00FE7FB9">
      <w:pPr>
        <w:pBdr>
          <w:top w:val="wave" w:sz="6" w:space="1" w:color="auto"/>
          <w:left w:val="wave" w:sz="6" w:space="4" w:color="auto"/>
          <w:bottom w:val="wave" w:sz="6" w:space="0" w:color="auto"/>
          <w:right w:val="wave" w:sz="6" w:space="4" w:color="auto"/>
        </w:pBdr>
        <w:jc w:val="both"/>
      </w:pPr>
      <w:r>
        <w:rPr>
          <w:noProof/>
          <w:lang w:eastAsia="fr-FR"/>
        </w:rPr>
        <mc:AlternateContent>
          <mc:Choice Requires="wps">
            <w:drawing>
              <wp:anchor distT="0" distB="0" distL="114300" distR="114300" simplePos="0" relativeHeight="251715584" behindDoc="0" locked="0" layoutInCell="1" allowOverlap="1" wp14:anchorId="7AB1B525" wp14:editId="0E7F344C">
                <wp:simplePos x="0" y="0"/>
                <wp:positionH relativeFrom="column">
                  <wp:posOffset>3216275</wp:posOffset>
                </wp:positionH>
                <wp:positionV relativeFrom="paragraph">
                  <wp:posOffset>3311525</wp:posOffset>
                </wp:positionV>
                <wp:extent cx="604520" cy="151130"/>
                <wp:effectExtent l="0" t="0" r="24130" b="2032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520" cy="1511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53.25pt;margin-top:260.75pt;width:47.6pt;height:11.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" filled="f" strokecolor="black [3213]" strokeweight="1.5pt">
                <v:path arrowok="t"/>
              </v:rect>
            </w:pict>
          </mc:Fallback>
        </mc:AlternateContent>
      </w:r>
      <w:r>
        <w:rPr>
          <w:noProof/>
          <w:lang w:eastAsia="fr-FR"/>
        </w:rPr>
        <w:drawing>
          <wp:inline distT="0" distB="0" distL="0" distR="0" wp14:anchorId="4105F1CB" wp14:editId="1C19DCB4">
            <wp:extent cx="6645910" cy="3982810"/>
            <wp:effectExtent l="0" t="0" r="2540" b="0"/>
            <wp:docPr id="5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6645910" cy="3982810"/>
                    </a:xfrm>
                    <a:prstGeom prst="rect">
                      <a:avLst/>
                    </a:prstGeom>
                    <a:noFill/>
                    <a:ln w="9525">
                      <a:noFill/>
                      <a:miter lim="800000"/>
                      <a:headEnd/>
                      <a:tailEnd/>
                    </a:ln>
                  </pic:spPr>
                </pic:pic>
              </a:graphicData>
            </a:graphic>
          </wp:inline>
        </w:drawing>
      </w:r>
    </w:p>
    <w:p w:rsidR="00FE7FB9" w:rsidRPr="00032E75" w:rsidRDefault="00FE7FB9" w:rsidP="00FE7FB9">
      <w:pPr>
        <w:pBdr>
          <w:top w:val="wave" w:sz="6" w:space="1" w:color="auto"/>
          <w:left w:val="wave" w:sz="6" w:space="4" w:color="auto"/>
          <w:bottom w:val="wave" w:sz="6" w:space="0" w:color="auto"/>
          <w:right w:val="wave" w:sz="6" w:space="4" w:color="auto"/>
        </w:pBdr>
        <w:spacing w:after="0"/>
        <w:jc w:val="right"/>
        <w:rPr>
          <w:b/>
        </w:rPr>
      </w:pPr>
      <w:r w:rsidRPr="00032E75">
        <w:rPr>
          <w:b/>
        </w:rPr>
        <w:t xml:space="preserve">INSEE, « Définir et quantifier l’économie verte », </w:t>
      </w:r>
      <w:r w:rsidRPr="00032E75">
        <w:rPr>
          <w:b/>
          <w:i/>
        </w:rPr>
        <w:t>L’économie française</w:t>
      </w:r>
      <w:r w:rsidRPr="00032E75">
        <w:rPr>
          <w:b/>
        </w:rPr>
        <w:t>, Edition 2012</w:t>
      </w:r>
    </w:p>
    <w:p w:rsidR="00FE7FB9" w:rsidRPr="00032E75" w:rsidRDefault="00183B06" w:rsidP="00FE7FB9">
      <w:pPr>
        <w:pBdr>
          <w:top w:val="wave" w:sz="6" w:space="1" w:color="auto"/>
          <w:left w:val="wave" w:sz="6" w:space="4" w:color="auto"/>
          <w:bottom w:val="wave" w:sz="6" w:space="0" w:color="auto"/>
          <w:right w:val="wave" w:sz="6" w:space="4" w:color="auto"/>
        </w:pBdr>
        <w:jc w:val="right"/>
        <w:rPr>
          <w:b/>
        </w:rPr>
      </w:pPr>
      <w:hyperlink r:id="rId23" w:history="1">
        <w:r w:rsidR="00FE7FB9" w:rsidRPr="005D7B92">
          <w:rPr>
            <w:rStyle w:val="Lienhypertexte"/>
            <w:b/>
          </w:rPr>
          <w:t>http://www.insee.fr/fr/ffc/docs_ffc/ref/ECOFRA12e_D3_eco_ver.pdf</w:t>
        </w:r>
      </w:hyperlink>
    </w:p>
    <w:p w:rsidR="00FE7FB9" w:rsidRDefault="00FE7FB9" w:rsidP="00FC35D8">
      <w:pPr>
        <w:spacing w:after="0"/>
        <w:jc w:val="both"/>
        <w:rPr>
          <w:i/>
          <w:color w:val="C0504D" w:themeColor="accent2"/>
        </w:rPr>
      </w:pPr>
      <w:r w:rsidRPr="00032E75">
        <w:rPr>
          <w:i/>
          <w:color w:val="C0504D" w:themeColor="accent2"/>
        </w:rPr>
        <w:t>Q1. A quoi correspondent les éco-activités ?</w:t>
      </w:r>
    </w:p>
    <w:p w:rsidR="00FE7FB9" w:rsidRDefault="00FE7FB9" w:rsidP="00FC35D8">
      <w:pPr>
        <w:spacing w:after="0"/>
        <w:jc w:val="both"/>
        <w:rPr>
          <w:i/>
          <w:color w:val="C0504D" w:themeColor="accent2"/>
        </w:rPr>
      </w:pPr>
      <w:r w:rsidRPr="00032E75">
        <w:rPr>
          <w:i/>
          <w:color w:val="C0504D" w:themeColor="accent2"/>
        </w:rPr>
        <w:t>Q2. Faites une phrase avec le chiffre entouré.</w:t>
      </w:r>
    </w:p>
    <w:p w:rsidR="00FE7FB9" w:rsidRPr="00032E75" w:rsidRDefault="00FE7FB9" w:rsidP="00FC35D8">
      <w:pPr>
        <w:spacing w:after="0"/>
        <w:jc w:val="both"/>
        <w:rPr>
          <w:i/>
          <w:color w:val="C0504D" w:themeColor="accent2"/>
        </w:rPr>
      </w:pPr>
      <w:r w:rsidRPr="00032E75">
        <w:rPr>
          <w:i/>
          <w:color w:val="C0504D" w:themeColor="accent2"/>
        </w:rPr>
        <w:t xml:space="preserve">Q3. Combien d’emplois sont en lien direct avec le développement durable ? </w:t>
      </w:r>
    </w:p>
    <w:p w:rsidR="00FE7FB9" w:rsidRPr="00F32D1C" w:rsidRDefault="00FE7FB9" w:rsidP="00FE7FB9">
      <w:pPr>
        <w:jc w:val="both"/>
        <w:rPr>
          <w:i/>
        </w:rPr>
      </w:pPr>
      <w:r w:rsidRPr="00F32D1C">
        <w:rPr>
          <w:i/>
          <w:color w:val="C0504D" w:themeColor="accent2"/>
        </w:rPr>
        <w:t>Q4. Quelles sont les 3 éco-activités qui produisent le plus et emploient le plus de personnes ?</w:t>
      </w:r>
    </w:p>
    <w:p w:rsidR="00FE7FB9" w:rsidRDefault="00FE7FB9" w:rsidP="00FE7FB9">
      <w:pPr>
        <w:jc w:val="both"/>
      </w:pPr>
    </w:p>
    <w:p w:rsidR="008F5C5E" w:rsidRDefault="008F5C5E" w:rsidP="008F5C5E">
      <w:pPr>
        <w:jc w:val="both"/>
      </w:pPr>
    </w:p>
    <w:p w:rsidR="008F5C5E" w:rsidRDefault="008F5C5E" w:rsidP="008F5C5E">
      <w:pPr>
        <w:jc w:val="both"/>
      </w:pPr>
    </w:p>
    <w:p w:rsidR="008F5C5E" w:rsidRDefault="008F5C5E" w:rsidP="008F5C5E">
      <w:pPr>
        <w:jc w:val="both"/>
      </w:pPr>
    </w:p>
    <w:p w:rsidR="008E0BE2" w:rsidRDefault="008E0BE2" w:rsidP="008F5C5E">
      <w:pPr>
        <w:jc w:val="both"/>
      </w:pPr>
    </w:p>
    <w:p w:rsidR="008F5C5E" w:rsidRDefault="008F5C5E" w:rsidP="008F5C5E">
      <w:pPr>
        <w:jc w:val="both"/>
      </w:pPr>
    </w:p>
    <w:p w:rsidR="00C43162" w:rsidRDefault="00C43162" w:rsidP="008F5C5E">
      <w:pPr>
        <w:jc w:val="both"/>
      </w:pPr>
    </w:p>
    <w:p w:rsidR="00C43162" w:rsidRDefault="00C43162" w:rsidP="008F5C5E">
      <w:pPr>
        <w:jc w:val="both"/>
      </w:pPr>
    </w:p>
    <w:p w:rsidR="00C43162" w:rsidRDefault="00C43162" w:rsidP="008F5C5E">
      <w:pPr>
        <w:jc w:val="both"/>
      </w:pPr>
    </w:p>
    <w:p w:rsidR="00C43162" w:rsidRDefault="00C43162" w:rsidP="008F5C5E">
      <w:pPr>
        <w:jc w:val="both"/>
      </w:pPr>
    </w:p>
    <w:p w:rsidR="00C43162" w:rsidRDefault="00C43162" w:rsidP="008F5C5E">
      <w:pPr>
        <w:jc w:val="both"/>
      </w:pPr>
    </w:p>
    <w:p w:rsidR="00C43162" w:rsidRDefault="00C43162" w:rsidP="008F5C5E">
      <w:pPr>
        <w:jc w:val="both"/>
      </w:pPr>
    </w:p>
    <w:p w:rsidR="00FC35D8" w:rsidRPr="00C43162" w:rsidRDefault="00FC35D8" w:rsidP="00C43162">
      <w:pPr>
        <w:pBdr>
          <w:top w:val="wave" w:sz="6" w:space="1" w:color="auto"/>
          <w:left w:val="wave" w:sz="6" w:space="4" w:color="auto"/>
          <w:bottom w:val="wave" w:sz="6" w:space="1" w:color="auto"/>
          <w:right w:val="wave" w:sz="6" w:space="4" w:color="auto"/>
        </w:pBdr>
        <w:rPr>
          <w:b/>
          <w:highlight w:val="yellow"/>
        </w:rPr>
      </w:pPr>
      <w:r w:rsidRPr="00EC080A">
        <w:lastRenderedPageBreak/>
        <w:sym w:font="Wingdings" w:char="F026"/>
      </w:r>
      <w:r>
        <w:t xml:space="preserve"> Document E</w:t>
      </w:r>
    </w:p>
    <w:p w:rsidR="00FC35D8" w:rsidRPr="00EC080A" w:rsidRDefault="00FC35D8" w:rsidP="00C43162">
      <w:pPr>
        <w:pBdr>
          <w:top w:val="wave" w:sz="6" w:space="1" w:color="auto"/>
          <w:left w:val="wave" w:sz="6" w:space="4" w:color="auto"/>
          <w:bottom w:val="wave" w:sz="6" w:space="1" w:color="auto"/>
          <w:right w:val="wave" w:sz="6" w:space="4" w:color="auto"/>
        </w:pBdr>
        <w:jc w:val="both"/>
      </w:pPr>
      <w:r>
        <w:t>L</w:t>
      </w:r>
      <w:r w:rsidRPr="00EC080A">
        <w:t>es voitures neuves vendues dans l'UE à partir de 2021 seront beaucoup plus sobres avec une consommation et donc des rejets de</w:t>
      </w:r>
      <w:r>
        <w:t xml:space="preserve"> CO2 réduits de 27</w:t>
      </w:r>
      <w:r w:rsidRPr="00EC080A">
        <w:t>% par rapport à 2015. Ce sera la conséquence directe d'une réforme définitivement validée mardi par le Parlement européen. Le texte massivement approuvé par les eurodéputés à</w:t>
      </w:r>
      <w:r>
        <w:t xml:space="preserve"> </w:t>
      </w:r>
      <w:r w:rsidRPr="00EC080A">
        <w:t>Strasbourg (par 499 voix pour, 107 contre et 9 abstentions) est le résultat d'un compromis avec les États membres. L'</w:t>
      </w:r>
      <w:r w:rsidRPr="00AC52E4">
        <w:t>Allemagne</w:t>
      </w:r>
      <w:r w:rsidRPr="00EC080A">
        <w:t>, qui s'est longtemps battue contre une norme qu'elle estimait trop contraignante pour son industrie automobile spécialisée dans les grosses cylindrées, a finalement consenti des concessions en novembre pour boucler cet accord. </w:t>
      </w:r>
    </w:p>
    <w:p w:rsidR="00FC35D8" w:rsidRPr="00EC080A" w:rsidRDefault="00FC35D8" w:rsidP="00C43162">
      <w:pPr>
        <w:pBdr>
          <w:top w:val="wave" w:sz="6" w:space="1" w:color="auto"/>
          <w:left w:val="wave" w:sz="6" w:space="4" w:color="auto"/>
          <w:bottom w:val="wave" w:sz="6" w:space="1" w:color="auto"/>
          <w:right w:val="wave" w:sz="6" w:space="4" w:color="auto"/>
        </w:pBdr>
        <w:jc w:val="both"/>
      </w:pPr>
      <w:r w:rsidRPr="00EC080A">
        <w:t>La politique menée par la Commission consiste à réduire la consommation des voitures vendues en Europe afin de limiter la contribution du secteur des transports au réchauffement climatique. Et, du même coup, la facture énergétique du Vieux Continent et de ses automobilistes. Pour mémoire, les voitures particulières repr</w:t>
      </w:r>
      <w:r>
        <w:t>ésentent aujourd'hui environ 12</w:t>
      </w:r>
      <w:r w:rsidRPr="00EC080A">
        <w:t xml:space="preserve">% des émissions de gaz à effet </w:t>
      </w:r>
      <w:r>
        <w:t>de serre européennes, contre 25</w:t>
      </w:r>
      <w:r w:rsidRPr="00EC080A">
        <w:t>% pour les habitations.</w:t>
      </w:r>
    </w:p>
    <w:p w:rsidR="00FC35D8" w:rsidRPr="00EC080A" w:rsidRDefault="00FC35D8" w:rsidP="00C43162">
      <w:pPr>
        <w:pBdr>
          <w:top w:val="wave" w:sz="6" w:space="1" w:color="auto"/>
          <w:left w:val="wave" w:sz="6" w:space="4" w:color="auto"/>
          <w:bottom w:val="wave" w:sz="6" w:space="1" w:color="auto"/>
          <w:right w:val="wave" w:sz="6" w:space="4" w:color="auto"/>
        </w:pBdr>
        <w:jc w:val="both"/>
      </w:pPr>
      <w:r w:rsidRPr="00EC080A">
        <w:t>Les objectifs que la Commission a fixés sont de 130 g/km pour 2015, puis de 95 g/km en 2021. Le premier objectif de 130 g - correspondant à une consommation moyenne de 5,5 l/100 km d'essence ou de 4,9 l/100 km de gazole (l'essence contient moins de carbone par litre) pour l'ensemble des voitures neuves commercialisées en Europe - devrait être facilement atteint. En grande partie grâce à l'impact de la crise économique actuelle, qui favorise le choix de petites voitures et donc la baisse des émissions de CO2 moyennes des voitures vendues en Europe. En effet, celles-ci sont passées de 161 g/km en 2006 à 132 g/km en 2012. En revanche, l'objectif suivant de 95 g/km en 2021 - correspondant à des consommations de 4,0 l/100 km d'essence, 3,6 l/100 km de gazole - s'annonce beaucoup plus ardu.</w:t>
      </w:r>
    </w:p>
    <w:p w:rsidR="00FC35D8" w:rsidRPr="00EC080A" w:rsidRDefault="00FC35D8" w:rsidP="00C43162">
      <w:pPr>
        <w:pBdr>
          <w:top w:val="wave" w:sz="6" w:space="1" w:color="auto"/>
          <w:left w:val="wave" w:sz="6" w:space="4" w:color="auto"/>
          <w:bottom w:val="wave" w:sz="6" w:space="1" w:color="auto"/>
          <w:right w:val="wave" w:sz="6" w:space="4" w:color="auto"/>
        </w:pBdr>
        <w:jc w:val="both"/>
      </w:pPr>
      <w:r w:rsidRPr="00EC080A">
        <w:t xml:space="preserve">Pourtant, selon la commissaire européenne chargée du Climat, Connie </w:t>
      </w:r>
      <w:proofErr w:type="spellStart"/>
      <w:r w:rsidRPr="00EC080A">
        <w:t>Hedegaard</w:t>
      </w:r>
      <w:proofErr w:type="spellEnd"/>
      <w:r w:rsidRPr="00EC080A">
        <w:t xml:space="preserve">, "il s'agit d'un objectif accessible avec des technologies disponibles maintenant. Il suffit de les mettre en œuvre". En partant de l'hypothèse de 12,5 millions de voitures vendues chaque année dans l'Union, l'application de ce texte pourrait permettre de réduire de 15 millions de tonnes par an les émissions de CO2 des véhicules en Europe, a calculé le rapporteur du texte au Parlement, le conservateur allemand Thomas </w:t>
      </w:r>
      <w:proofErr w:type="spellStart"/>
      <w:r w:rsidRPr="00EC080A">
        <w:t>Ulmer</w:t>
      </w:r>
      <w:proofErr w:type="spellEnd"/>
      <w:r w:rsidRPr="00EC080A">
        <w:t>. </w:t>
      </w:r>
    </w:p>
    <w:p w:rsidR="00FC35D8" w:rsidRPr="00AC52E4" w:rsidRDefault="00FC35D8" w:rsidP="00C43162">
      <w:pPr>
        <w:pBdr>
          <w:top w:val="wave" w:sz="6" w:space="1" w:color="auto"/>
          <w:left w:val="wave" w:sz="6" w:space="4" w:color="auto"/>
          <w:bottom w:val="wave" w:sz="6" w:space="1" w:color="auto"/>
          <w:right w:val="wave" w:sz="6" w:space="4" w:color="auto"/>
        </w:pBdr>
        <w:jc w:val="both"/>
      </w:pPr>
      <w:r>
        <w:t>P</w:t>
      </w:r>
      <w:r w:rsidRPr="00EC080A">
        <w:t>our parvenir à ses fins, la Commission européenne impose à chaque constructeur un objectif spécifique d'émission de CO2 en fonction de la masse moyenne de ses modèles.</w:t>
      </w:r>
      <w:r>
        <w:t xml:space="preserve"> […] </w:t>
      </w:r>
      <w:r w:rsidRPr="00AC52E4">
        <w:t>Car tout dépassement de l'objectif fixé par la Commission impose désormais le paiement d'une pénalité financière pour les constructeurs. Celle-ci est aujourd'hui de 5 euros par véhicule vendu pour le premier gramme de dépassement, de 15 euros pour le deuxième, de 25 euros pour le troisième et de 95 euros pour tout gramme supplémentaire jusqu'en 2018. À partir de 2019, la pénalité passera à 95 euros dès le premier gramme de dépassement.</w:t>
      </w:r>
      <w:r>
        <w:t xml:space="preserve"> </w:t>
      </w:r>
      <w:r w:rsidRPr="00AC52E4">
        <w:t>L'air de rien et compte tenu des volumes de ventes considérés, l'addition pourrait rapidement atteindre des sommets. Afin de fixer les ordres de grandeur, si les constructeurs se croisaient les bras et vendaient en 2020 les mêmes modèles qu'aujourd'hui, et dans les mêmes quantités, Fiat paierait 2 milliards d'euros de pénalité, Daimler 2,4 milliards, BMW 2,6 milliards, Renault 3 milliards, PSA 3,6 milliards, jusqu'à VW qui serait redevable de 10,5 milliards - pas moins ! - pour l'ensemble de ses marques. </w:t>
      </w:r>
    </w:p>
    <w:p w:rsidR="00FC35D8" w:rsidRPr="00AC52E4" w:rsidRDefault="00FC35D8" w:rsidP="00C43162">
      <w:pPr>
        <w:pBdr>
          <w:top w:val="wave" w:sz="6" w:space="1" w:color="auto"/>
          <w:left w:val="wave" w:sz="6" w:space="4" w:color="auto"/>
          <w:bottom w:val="wave" w:sz="6" w:space="1" w:color="auto"/>
          <w:right w:val="wave" w:sz="6" w:space="4" w:color="auto"/>
        </w:pBdr>
        <w:spacing w:after="0"/>
        <w:jc w:val="right"/>
        <w:rPr>
          <w:b/>
        </w:rPr>
      </w:pPr>
      <w:r w:rsidRPr="00AC52E4">
        <w:rPr>
          <w:b/>
        </w:rPr>
        <w:t xml:space="preserve">Yves MAROESELLI, « L'Europe serre la vis aux constructeurs automobiles », </w:t>
      </w:r>
      <w:hyperlink r:id="rId24" w:history="1">
        <w:r w:rsidRPr="00AC52E4">
          <w:rPr>
            <w:rStyle w:val="Lienhypertexte"/>
            <w:b/>
          </w:rPr>
          <w:t>www.lepoint.fr</w:t>
        </w:r>
      </w:hyperlink>
      <w:r w:rsidRPr="00AC52E4">
        <w:rPr>
          <w:b/>
        </w:rPr>
        <w:t>, 26.02.2014</w:t>
      </w:r>
    </w:p>
    <w:p w:rsidR="00FC35D8" w:rsidRPr="00AC52E4" w:rsidRDefault="00183B06" w:rsidP="00C43162">
      <w:pPr>
        <w:pBdr>
          <w:top w:val="wave" w:sz="6" w:space="1" w:color="auto"/>
          <w:left w:val="wave" w:sz="6" w:space="4" w:color="auto"/>
          <w:bottom w:val="wave" w:sz="6" w:space="1" w:color="auto"/>
          <w:right w:val="wave" w:sz="6" w:space="4" w:color="auto"/>
        </w:pBdr>
        <w:jc w:val="right"/>
        <w:rPr>
          <w:b/>
        </w:rPr>
      </w:pPr>
      <w:hyperlink r:id="rId25" w:history="1">
        <w:r w:rsidR="00FC35D8" w:rsidRPr="00531AFA">
          <w:rPr>
            <w:rStyle w:val="Lienhypertexte"/>
            <w:b/>
          </w:rPr>
          <w:t>http://www.lepoint.fr/auto-addict/strategie/pollution-automobile-ce-que-l-europe-exige-des-constructeurs-03-10-2013-1738761_659.php</w:t>
        </w:r>
      </w:hyperlink>
    </w:p>
    <w:p w:rsidR="00FC35D8" w:rsidRDefault="00FC35D8" w:rsidP="00FC35D8">
      <w:pPr>
        <w:spacing w:after="0"/>
        <w:jc w:val="both"/>
        <w:rPr>
          <w:i/>
          <w:color w:val="C0504D" w:themeColor="accent2"/>
        </w:rPr>
      </w:pPr>
      <w:r w:rsidRPr="00657309">
        <w:rPr>
          <w:i/>
          <w:color w:val="C0504D" w:themeColor="accent2"/>
        </w:rPr>
        <w:t>Q1. Quelle est la règlementation adoptée par l’UE </w:t>
      </w:r>
      <w:r>
        <w:rPr>
          <w:i/>
          <w:color w:val="C0504D" w:themeColor="accent2"/>
        </w:rPr>
        <w:t xml:space="preserve">pour limiter les rejets de CO2 en Europe </w:t>
      </w:r>
      <w:r w:rsidRPr="00657309">
        <w:rPr>
          <w:i/>
          <w:color w:val="C0504D" w:themeColor="accent2"/>
        </w:rPr>
        <w:t>?</w:t>
      </w:r>
    </w:p>
    <w:p w:rsidR="00FC35D8" w:rsidRDefault="00FC35D8" w:rsidP="00FC35D8">
      <w:pPr>
        <w:spacing w:after="0"/>
        <w:jc w:val="both"/>
        <w:rPr>
          <w:i/>
          <w:color w:val="C0504D" w:themeColor="accent2"/>
        </w:rPr>
      </w:pPr>
      <w:r w:rsidRPr="00657309">
        <w:rPr>
          <w:i/>
          <w:color w:val="C0504D" w:themeColor="accent2"/>
        </w:rPr>
        <w:t>Q2. Quelle est l’efficacité estimée de cette mesure ?</w:t>
      </w:r>
    </w:p>
    <w:p w:rsidR="00FC35D8" w:rsidRDefault="00FC35D8" w:rsidP="00FC35D8">
      <w:pPr>
        <w:spacing w:after="0"/>
        <w:jc w:val="both"/>
        <w:rPr>
          <w:i/>
          <w:color w:val="C0504D" w:themeColor="accent2"/>
        </w:rPr>
      </w:pPr>
      <w:r w:rsidRPr="00657309">
        <w:rPr>
          <w:i/>
          <w:color w:val="C0504D" w:themeColor="accent2"/>
        </w:rPr>
        <w:t xml:space="preserve">Q3. Quel est le risque pour les constructeurs automobiles de ne pas respecter cette </w:t>
      </w:r>
      <w:r w:rsidR="00183B06">
        <w:rPr>
          <w:i/>
          <w:color w:val="C0504D" w:themeColor="accent2"/>
        </w:rPr>
        <w:t>ré</w:t>
      </w:r>
      <w:bookmarkStart w:id="0" w:name="_GoBack"/>
      <w:bookmarkEnd w:id="0"/>
      <w:r w:rsidRPr="00657309">
        <w:rPr>
          <w:i/>
          <w:color w:val="C0504D" w:themeColor="accent2"/>
        </w:rPr>
        <w:t>glementation ?</w:t>
      </w:r>
    </w:p>
    <w:p w:rsidR="009E3D8A" w:rsidRDefault="00FC35D8" w:rsidP="009E3D8A">
      <w:pPr>
        <w:jc w:val="both"/>
        <w:rPr>
          <w:i/>
          <w:color w:val="C0504D" w:themeColor="accent2"/>
        </w:rPr>
      </w:pPr>
      <w:r w:rsidRPr="00657309">
        <w:rPr>
          <w:i/>
          <w:color w:val="C0504D" w:themeColor="accent2"/>
        </w:rPr>
        <w:t>Q4. Pourquoi l’Allemagne est-elle réticente à ce projet ?</w:t>
      </w:r>
    </w:p>
    <w:p w:rsidR="00FC35D8" w:rsidRDefault="00FC35D8" w:rsidP="00FC35D8">
      <w:pPr>
        <w:jc w:val="both"/>
        <w:rPr>
          <w:b/>
          <w:color w:val="4F81BD" w:themeColor="accent1"/>
        </w:rPr>
      </w:pPr>
    </w:p>
    <w:p w:rsidR="00FC35D8" w:rsidRPr="00296E78" w:rsidRDefault="00FC35D8" w:rsidP="00FC35D8">
      <w:pPr>
        <w:pBdr>
          <w:top w:val="wave" w:sz="6" w:space="1" w:color="auto"/>
          <w:left w:val="wave" w:sz="6" w:space="4" w:color="auto"/>
          <w:bottom w:val="wave" w:sz="6" w:space="1" w:color="auto"/>
          <w:right w:val="wave" w:sz="6" w:space="4" w:color="auto"/>
        </w:pBdr>
      </w:pPr>
      <w:r>
        <w:lastRenderedPageBreak/>
        <w:sym w:font="Wingdings" w:char="F026"/>
      </w:r>
      <w:r>
        <w:t xml:space="preserve"> </w:t>
      </w:r>
      <w:r w:rsidRPr="00296E78">
        <w:t xml:space="preserve">Document F </w:t>
      </w:r>
    </w:p>
    <w:p w:rsidR="00FC35D8" w:rsidRDefault="00FC35D8" w:rsidP="00FC35D8">
      <w:pPr>
        <w:pBdr>
          <w:top w:val="wave" w:sz="6" w:space="1" w:color="auto"/>
          <w:left w:val="wave" w:sz="6" w:space="4" w:color="auto"/>
          <w:bottom w:val="wave" w:sz="6" w:space="1" w:color="auto"/>
          <w:right w:val="wave" w:sz="6" w:space="4" w:color="auto"/>
        </w:pBdr>
        <w:jc w:val="both"/>
      </w:pPr>
      <w:r w:rsidRPr="00296E78">
        <w:t>Le gouvernement a décidé de remettre à plat le système de bonus-malus écologique qui s'applique lors de l'achat de voitures neuves en France.</w:t>
      </w:r>
      <w:r>
        <w:t xml:space="preserve"> </w:t>
      </w:r>
      <w:r w:rsidRPr="00296E78">
        <w:t>A compter de mi-2015, le bonus pour les véhicules à moteur thermique (diesel ou essence) peu polluant sera définitivement supprimé.</w:t>
      </w:r>
      <w:r>
        <w:t xml:space="preserve"> </w:t>
      </w:r>
      <w:r w:rsidRPr="00296E78">
        <w:t>Le 1er novembre 2013, il avait déjà été réduit de 550 euros à 150 euros et n'était plus réservé qu'aux voitures émettant entre 61 et 90 grammes de CO2, ce qui le réduisait à certains modèles de Peugeot 208 ou de Fiat Panda.</w:t>
      </w:r>
      <w:r>
        <w:t xml:space="preserve"> </w:t>
      </w:r>
      <w:r w:rsidRPr="00296E78">
        <w:t>« Cette mesure n'était plus assez incitative », explique-t-on à Bercy po</w:t>
      </w:r>
      <w:r>
        <w:t xml:space="preserve">ur justifier cette suppression. </w:t>
      </w:r>
      <w:r w:rsidRPr="00296E78">
        <w:t>Pas question, en revanche, de renoncer aux malus pour les véhicules thermiques les plus polluants, qui vont de 150 euros à 8 000 euros selon le niveau d'émissions de dioxyde de carbone.</w:t>
      </w:r>
      <w:r>
        <w:t xml:space="preserve"> </w:t>
      </w:r>
      <w:r w:rsidRPr="00296E78">
        <w:t>Il faudra par exemple toujours s'acquitter de 2 200 euros pour une voiture émettant entre 156 et 175 grammes de CO2 par kilomètre, comme certains modèles de </w:t>
      </w:r>
      <w:r>
        <w:t xml:space="preserve">Peugeot 5008 ou de BMW Série 5. </w:t>
      </w:r>
    </w:p>
    <w:p w:rsidR="00FC35D8" w:rsidRPr="00296E78" w:rsidRDefault="00FC35D8" w:rsidP="00FC35D8">
      <w:pPr>
        <w:pBdr>
          <w:top w:val="wave" w:sz="6" w:space="1" w:color="auto"/>
          <w:left w:val="wave" w:sz="6" w:space="4" w:color="auto"/>
          <w:bottom w:val="wave" w:sz="6" w:space="1" w:color="auto"/>
          <w:right w:val="wave" w:sz="6" w:space="4" w:color="auto"/>
        </w:pBdr>
        <w:jc w:val="both"/>
      </w:pPr>
      <w:r w:rsidRPr="00296E78">
        <w:t>Le « bonus écologique » sera réduit pour les véhicules hybrides simples, c'est-à-dire ceux qui ne se rechargent pas. Il devrait passer mi-2015 de 2 000 euros à 1 500 euros.</w:t>
      </w:r>
      <w:r>
        <w:t xml:space="preserve"> </w:t>
      </w:r>
      <w:r w:rsidRPr="00296E78">
        <w:t>« Ce marché est aujourd'hui mature et les prix baissent, il n'y a plus besoin de la même incitation fiscale pour le soutenir », explique-t-on à Bercy.</w:t>
      </w:r>
    </w:p>
    <w:p w:rsidR="00FC35D8" w:rsidRPr="00296E78" w:rsidRDefault="00FC35D8" w:rsidP="00FC35D8">
      <w:pPr>
        <w:pBdr>
          <w:top w:val="wave" w:sz="6" w:space="1" w:color="auto"/>
          <w:left w:val="wave" w:sz="6" w:space="4" w:color="auto"/>
          <w:bottom w:val="wave" w:sz="6" w:space="1" w:color="auto"/>
          <w:right w:val="wave" w:sz="6" w:space="4" w:color="auto"/>
        </w:pBdr>
        <w:jc w:val="both"/>
      </w:pPr>
      <w:r w:rsidRPr="00296E78">
        <w:t xml:space="preserve">Un « </w:t>
      </w:r>
      <w:proofErr w:type="spellStart"/>
      <w:r w:rsidRPr="00296E78">
        <w:t>superbonus</w:t>
      </w:r>
      <w:proofErr w:type="spellEnd"/>
      <w:r w:rsidRPr="00296E78">
        <w:t xml:space="preserve"> » - pouvant aller au total jusqu'à 10 000 euros ! - va être créé pour inciter les automobilistes à se convertir à l'électricité.</w:t>
      </w:r>
      <w:r>
        <w:t xml:space="preserve"> </w:t>
      </w:r>
      <w:r w:rsidRPr="00296E78">
        <w:t>« La priorité n'est plus aujourd'hui de promouvoir les véhicules à essence mais de porter l'effort sur le véhicule électrique, moins polluants et où les constructeurs français sont bien placés », poursuit-on au ministère de l'économie</w:t>
      </w:r>
      <w:r>
        <w:t xml:space="preserve">. </w:t>
      </w:r>
      <w:r w:rsidRPr="00296E78">
        <w:t xml:space="preserve">Concrètement, 3 700 euros seront versés aux acheteurs de véhicules électriques, en plus des 6 300 euros de « bonus écologique » déjà prévus, s'ils décident de mettre à la casse une voiture à </w:t>
      </w:r>
      <w:r>
        <w:t>moteur diesel de plus de 13 ans. […]</w:t>
      </w:r>
    </w:p>
    <w:p w:rsidR="00FC35D8" w:rsidRDefault="00FC35D8" w:rsidP="00FC35D8">
      <w:pPr>
        <w:pBdr>
          <w:top w:val="wave" w:sz="6" w:space="1" w:color="auto"/>
          <w:left w:val="wave" w:sz="6" w:space="4" w:color="auto"/>
          <w:bottom w:val="wave" w:sz="6" w:space="1" w:color="auto"/>
          <w:right w:val="wave" w:sz="6" w:space="4" w:color="auto"/>
        </w:pBdr>
        <w:jc w:val="both"/>
      </w:pPr>
      <w:r w:rsidRPr="00296E78">
        <w:t xml:space="preserve">Selon Bercy, 50 millions d'euros de « </w:t>
      </w:r>
      <w:proofErr w:type="spellStart"/>
      <w:r w:rsidRPr="00296E78">
        <w:t>superbonus</w:t>
      </w:r>
      <w:proofErr w:type="spellEnd"/>
      <w:r w:rsidRPr="00296E78">
        <w:t xml:space="preserve"> » seront versés l'an prochain aux acheteurs de véhicules électriques et hybrides rechargeables, ce qui devrait porter à 240 millions d'euros le montant des bonus automobiles versés en 2015.</w:t>
      </w:r>
      <w:r>
        <w:t xml:space="preserve"> </w:t>
      </w:r>
      <w:r w:rsidRPr="00296E78">
        <w:t>«</w:t>
      </w:r>
      <w:r>
        <w:t xml:space="preserve"> </w:t>
      </w:r>
      <w:r w:rsidRPr="00296E78">
        <w:t>La France doit être le leader de l'automobile et de la mobilité de demain », explique M. Macron pour justifier cet effort.</w:t>
      </w:r>
      <w:r>
        <w:t xml:space="preserve"> </w:t>
      </w:r>
      <w:r w:rsidRPr="00296E78">
        <w:t>Un coup de pouce qu'il faut néanmoins relativiser</w:t>
      </w:r>
      <w:r>
        <w:t xml:space="preserve"> </w:t>
      </w:r>
      <w:r w:rsidRPr="00296E78">
        <w:t>: en 2010, l'Etat avait versé 710 millio</w:t>
      </w:r>
      <w:r>
        <w:t>ns d'euros de bonus automobile.</w:t>
      </w:r>
    </w:p>
    <w:p w:rsidR="00FC35D8" w:rsidRDefault="00FC35D8" w:rsidP="00FC35D8">
      <w:pPr>
        <w:pBdr>
          <w:top w:val="wave" w:sz="6" w:space="1" w:color="auto"/>
          <w:left w:val="wave" w:sz="6" w:space="4" w:color="auto"/>
          <w:bottom w:val="wave" w:sz="6" w:space="1" w:color="auto"/>
          <w:right w:val="wave" w:sz="6" w:space="4" w:color="auto"/>
        </w:pBdr>
        <w:spacing w:after="0"/>
        <w:jc w:val="right"/>
      </w:pPr>
      <w:r w:rsidRPr="00DA551C">
        <w:rPr>
          <w:b/>
        </w:rPr>
        <w:t>Cédric PIETRALUNGA, « Le bonus pour les voitures essence et diesel propres, c'</w:t>
      </w:r>
      <w:r>
        <w:rPr>
          <w:b/>
        </w:rPr>
        <w:t>est fini ! »,</w:t>
      </w:r>
      <w:r w:rsidRPr="00DA551C">
        <w:rPr>
          <w:b/>
        </w:rPr>
        <w:t xml:space="preserve"> Le Monde.fr, 02.10.2014</w:t>
      </w:r>
    </w:p>
    <w:p w:rsidR="00FC35D8" w:rsidRPr="00296E78" w:rsidRDefault="00183B06" w:rsidP="00FC35D8">
      <w:pPr>
        <w:pBdr>
          <w:top w:val="wave" w:sz="6" w:space="1" w:color="auto"/>
          <w:left w:val="wave" w:sz="6" w:space="4" w:color="auto"/>
          <w:bottom w:val="wave" w:sz="6" w:space="1" w:color="auto"/>
          <w:right w:val="wave" w:sz="6" w:space="4" w:color="auto"/>
        </w:pBdr>
        <w:jc w:val="right"/>
      </w:pPr>
      <w:hyperlink r:id="rId26" w:history="1">
        <w:r w:rsidR="00FC35D8" w:rsidRPr="00DA551C">
          <w:rPr>
            <w:rStyle w:val="Lienhypertexte"/>
            <w:b/>
          </w:rPr>
          <w:t>http://www.lemonde.fr/m-styles/article/2014/10/02/le-bonus-pour-les-voitures-essence-et-diesel-propres-c-est-fini_4498851_4497319.html</w:t>
        </w:r>
      </w:hyperlink>
      <w:r w:rsidR="00FC35D8">
        <w:t xml:space="preserve"> </w:t>
      </w:r>
    </w:p>
    <w:p w:rsidR="00FC35D8" w:rsidRPr="00E73327" w:rsidRDefault="00FC35D8" w:rsidP="00FC35D8">
      <w:pPr>
        <w:spacing w:after="0"/>
        <w:jc w:val="both"/>
        <w:rPr>
          <w:i/>
          <w:color w:val="C0504D" w:themeColor="accent2"/>
        </w:rPr>
      </w:pPr>
      <w:r w:rsidRPr="00E73327">
        <w:rPr>
          <w:i/>
          <w:color w:val="C0504D" w:themeColor="accent2"/>
        </w:rPr>
        <w:t>Q1. Quel est le principe du bonus-malus écologique automobile en France ?</w:t>
      </w:r>
    </w:p>
    <w:p w:rsidR="00FC35D8" w:rsidRDefault="00FC35D8" w:rsidP="00FC35D8">
      <w:pPr>
        <w:spacing w:after="0"/>
        <w:jc w:val="both"/>
        <w:rPr>
          <w:i/>
          <w:color w:val="C0504D" w:themeColor="accent2"/>
        </w:rPr>
      </w:pPr>
      <w:r w:rsidRPr="00E73327">
        <w:rPr>
          <w:i/>
          <w:color w:val="C0504D" w:themeColor="accent2"/>
        </w:rPr>
        <w:t>Q2. En 2015, les véhicules essence et diesel (dits « thermiques ») ont-ils encore droits à un bonus ?</w:t>
      </w:r>
      <w:r>
        <w:rPr>
          <w:i/>
          <w:color w:val="C0504D" w:themeColor="accent2"/>
        </w:rPr>
        <w:t xml:space="preserve"> Pourquoi ?</w:t>
      </w:r>
    </w:p>
    <w:p w:rsidR="00FC35D8" w:rsidRDefault="00FC35D8" w:rsidP="00FC35D8">
      <w:pPr>
        <w:spacing w:after="0"/>
        <w:jc w:val="both"/>
        <w:rPr>
          <w:i/>
          <w:color w:val="C0504D" w:themeColor="accent2"/>
        </w:rPr>
      </w:pPr>
      <w:r>
        <w:rPr>
          <w:i/>
          <w:color w:val="C0504D" w:themeColor="accent2"/>
        </w:rPr>
        <w:t>Q3. Jusqu’à combien peut s’élever le malus sur l’achat d’un véhicule thermique ?</w:t>
      </w:r>
    </w:p>
    <w:p w:rsidR="00FC35D8" w:rsidRDefault="00FC35D8" w:rsidP="00FC35D8">
      <w:pPr>
        <w:spacing w:after="0"/>
        <w:jc w:val="both"/>
        <w:rPr>
          <w:i/>
          <w:color w:val="C0504D" w:themeColor="accent2"/>
        </w:rPr>
      </w:pPr>
      <w:r>
        <w:rPr>
          <w:i/>
          <w:color w:val="C0504D" w:themeColor="accent2"/>
        </w:rPr>
        <w:t xml:space="preserve">Q4. Pourquoi créer un </w:t>
      </w:r>
      <w:proofErr w:type="spellStart"/>
      <w:r>
        <w:rPr>
          <w:i/>
          <w:color w:val="C0504D" w:themeColor="accent2"/>
        </w:rPr>
        <w:t>superbonus</w:t>
      </w:r>
      <w:proofErr w:type="spellEnd"/>
      <w:r>
        <w:rPr>
          <w:i/>
          <w:color w:val="C0504D" w:themeColor="accent2"/>
        </w:rPr>
        <w:t xml:space="preserve"> pour les véhicules électriques ?</w:t>
      </w:r>
    </w:p>
    <w:p w:rsidR="00FC35D8" w:rsidRDefault="00FC35D8" w:rsidP="00FC35D8">
      <w:pPr>
        <w:jc w:val="both"/>
        <w:rPr>
          <w:i/>
          <w:color w:val="C0504D" w:themeColor="accent2"/>
        </w:rPr>
      </w:pPr>
      <w:r>
        <w:rPr>
          <w:i/>
          <w:color w:val="C0504D" w:themeColor="accent2"/>
        </w:rPr>
        <w:t xml:space="preserve">Q5. Pourquoi le montant total des bonus versés en 2010 étaient-ils 3 fois </w:t>
      </w:r>
      <w:proofErr w:type="gramStart"/>
      <w:r>
        <w:rPr>
          <w:i/>
          <w:color w:val="C0504D" w:themeColor="accent2"/>
        </w:rPr>
        <w:t>supérieurs</w:t>
      </w:r>
      <w:proofErr w:type="gramEnd"/>
      <w:r>
        <w:rPr>
          <w:i/>
          <w:color w:val="C0504D" w:themeColor="accent2"/>
        </w:rPr>
        <w:t xml:space="preserve"> à ceux versés en 2015 ?</w:t>
      </w:r>
    </w:p>
    <w:p w:rsidR="00FC35D8" w:rsidRPr="00DF7CEA" w:rsidRDefault="00FC35D8" w:rsidP="00FC35D8"/>
    <w:p w:rsidR="00FC35D8" w:rsidRDefault="00FC35D8" w:rsidP="00FC35D8">
      <w:pPr>
        <w:jc w:val="both"/>
        <w:rPr>
          <w:b/>
          <w:color w:val="4F81BD" w:themeColor="accent1"/>
        </w:rPr>
      </w:pPr>
    </w:p>
    <w:p w:rsidR="00FC35D8" w:rsidRDefault="00FC35D8" w:rsidP="00FC35D8">
      <w:pPr>
        <w:jc w:val="both"/>
      </w:pPr>
    </w:p>
    <w:p w:rsidR="00FC35D8" w:rsidRDefault="00FC35D8" w:rsidP="00FC35D8">
      <w:pPr>
        <w:jc w:val="both"/>
      </w:pPr>
    </w:p>
    <w:p w:rsidR="00FC35D8" w:rsidRPr="00064F9D" w:rsidRDefault="00FC35D8" w:rsidP="00FC35D8">
      <w:pPr>
        <w:jc w:val="both"/>
      </w:pPr>
    </w:p>
    <w:p w:rsidR="00FC35D8" w:rsidRPr="007C4B7D" w:rsidRDefault="00FC35D8" w:rsidP="00FC35D8">
      <w:pPr>
        <w:jc w:val="both"/>
      </w:pPr>
    </w:p>
    <w:p w:rsidR="00FC35D8" w:rsidRPr="007C4B7D" w:rsidRDefault="00FC35D8" w:rsidP="00FC35D8">
      <w:pPr>
        <w:jc w:val="both"/>
      </w:pPr>
    </w:p>
    <w:p w:rsidR="00FC35D8" w:rsidRPr="00C43162" w:rsidRDefault="00FC35D8">
      <w:pPr>
        <w:rPr>
          <w:b/>
          <w:color w:val="4F81BD" w:themeColor="accent1"/>
        </w:rPr>
      </w:pPr>
      <w:r>
        <w:rPr>
          <w:b/>
          <w:color w:val="4F81BD" w:themeColor="accent1"/>
        </w:rPr>
        <w:br w:type="page"/>
      </w:r>
    </w:p>
    <w:p w:rsidR="00FC35D8" w:rsidRPr="00116B80" w:rsidRDefault="00FC35D8" w:rsidP="00FC35D8">
      <w:pPr>
        <w:pBdr>
          <w:top w:val="wave" w:sz="6" w:space="1" w:color="auto"/>
          <w:left w:val="wave" w:sz="6" w:space="4" w:color="auto"/>
          <w:bottom w:val="wave" w:sz="6" w:space="1" w:color="auto"/>
          <w:right w:val="wave" w:sz="6" w:space="4" w:color="auto"/>
        </w:pBdr>
      </w:pPr>
      <w:r>
        <w:lastRenderedPageBreak/>
        <w:sym w:font="Wingdings" w:char="F026"/>
      </w:r>
      <w:r>
        <w:t xml:space="preserve"> Document G</w:t>
      </w:r>
    </w:p>
    <w:p w:rsidR="00FC35D8" w:rsidRDefault="00FC35D8" w:rsidP="00FC35D8">
      <w:pPr>
        <w:pBdr>
          <w:top w:val="wave" w:sz="6" w:space="1" w:color="auto"/>
          <w:left w:val="wave" w:sz="6" w:space="4" w:color="auto"/>
          <w:bottom w:val="wave" w:sz="6" w:space="1" w:color="auto"/>
          <w:right w:val="wave" w:sz="6" w:space="4" w:color="auto"/>
        </w:pBdr>
        <w:jc w:val="both"/>
      </w:pPr>
      <w:r w:rsidRPr="00116B80">
        <w:t>Bonne nouvelle : les émissions globales de gaz à effet de serre des 11 000 sites industriels soumis au marché europé</w:t>
      </w:r>
      <w:r>
        <w:t>en du carbone ont reculé de 1,4</w:t>
      </w:r>
      <w:r w:rsidRPr="00116B80">
        <w:t>% en 2012. Mauvaise nouvelle : cette performance, imputable à la seule crise économique, fragilise un peu plus la politique climatique européenne.</w:t>
      </w:r>
    </w:p>
    <w:p w:rsidR="00FC35D8" w:rsidRDefault="00FC35D8" w:rsidP="00FC35D8">
      <w:pPr>
        <w:pBdr>
          <w:top w:val="wave" w:sz="6" w:space="1" w:color="auto"/>
          <w:left w:val="wave" w:sz="6" w:space="4" w:color="auto"/>
          <w:bottom w:val="wave" w:sz="6" w:space="1" w:color="auto"/>
          <w:right w:val="wave" w:sz="6" w:space="4" w:color="auto"/>
        </w:pBdr>
        <w:jc w:val="both"/>
      </w:pPr>
      <w:r w:rsidRPr="00116B80">
        <w:t>D'après les chiffres provisoires rapportés à la Commission européenne, les émissions de CO2 – hors secteur de l'aviation – des installations couvertes par le marché carbone se sont élevées à près de 1,8 milliard de tonnes en 2012. Mais l'amélioration n'est pas due à l'investissement des </w:t>
      </w:r>
      <w:r w:rsidRPr="00417D12">
        <w:t>entreprises</w:t>
      </w:r>
      <w:r w:rsidRPr="00116B80">
        <w:t> dans des procédés ou des </w:t>
      </w:r>
      <w:r w:rsidRPr="00417D12">
        <w:t>technologies</w:t>
      </w:r>
      <w:r w:rsidRPr="00116B80">
        <w:t> de réduction de leurs rejets de CO2.</w:t>
      </w:r>
    </w:p>
    <w:p w:rsidR="00FC35D8" w:rsidRDefault="00FC35D8" w:rsidP="00FC35D8">
      <w:pPr>
        <w:pBdr>
          <w:top w:val="wave" w:sz="6" w:space="1" w:color="auto"/>
          <w:left w:val="wave" w:sz="6" w:space="4" w:color="auto"/>
          <w:bottom w:val="wave" w:sz="6" w:space="1" w:color="auto"/>
          <w:right w:val="wave" w:sz="6" w:space="4" w:color="auto"/>
        </w:pBdr>
        <w:jc w:val="both"/>
      </w:pPr>
      <w:r w:rsidRPr="00116B80">
        <w:t>Ralentissement économique oblige, les volumes de production industrielle ont baissé, entraînant mécaniquement une chute des rejets de gaz à effet de serre. Le secteur du ciment a ainsi vu </w:t>
      </w:r>
      <w:r w:rsidRPr="00417D12">
        <w:t>ses</w:t>
      </w:r>
      <w:r w:rsidRPr="00116B80">
        <w:t> émissions de CO2 </w:t>
      </w:r>
      <w:r w:rsidRPr="00417D12">
        <w:t>reculer</w:t>
      </w:r>
      <w:r w:rsidRPr="00116B80">
        <w:t> </w:t>
      </w:r>
      <w:r>
        <w:t>de 7,4</w:t>
      </w:r>
      <w:r w:rsidRPr="00116B80">
        <w:t>%, tandis que les rejets du secteu</w:t>
      </w:r>
      <w:r>
        <w:t>r de l'acier ont décliné de 3,3</w:t>
      </w:r>
      <w:r w:rsidRPr="00116B80">
        <w:t>%.</w:t>
      </w:r>
    </w:p>
    <w:p w:rsidR="00FC35D8" w:rsidRPr="00116B80" w:rsidRDefault="00FC35D8" w:rsidP="00FC35D8">
      <w:pPr>
        <w:pBdr>
          <w:top w:val="wave" w:sz="6" w:space="1" w:color="auto"/>
          <w:left w:val="wave" w:sz="6" w:space="4" w:color="auto"/>
          <w:bottom w:val="wave" w:sz="6" w:space="1" w:color="auto"/>
          <w:right w:val="wave" w:sz="6" w:space="4" w:color="auto"/>
        </w:pBdr>
        <w:jc w:val="both"/>
      </w:pPr>
      <w:r w:rsidRPr="00116B80">
        <w:t>Conséquence de ce ralentissement, le nombre de quotas d'émissions alloués gratuitement aux industriels a une nouvelle fois dépassé le volume de leurs émissions réelles. L'aciérie </w:t>
      </w:r>
      <w:proofErr w:type="spellStart"/>
      <w:r w:rsidRPr="00417D12">
        <w:t>ArcelorMittal</w:t>
      </w:r>
      <w:r w:rsidRPr="00116B80">
        <w:t>de</w:t>
      </w:r>
      <w:proofErr w:type="spellEnd"/>
      <w:r w:rsidRPr="00116B80">
        <w:t xml:space="preserve"> Dunkerque, 10e plus gros émetteur européen et premier français, a ainsi reçu 634 154 quotas de CO2 excédentaires, qu'elle pourra </w:t>
      </w:r>
      <w:r w:rsidRPr="00417D12">
        <w:t>chercher</w:t>
      </w:r>
      <w:r w:rsidRPr="00116B80">
        <w:t> à </w:t>
      </w:r>
      <w:r w:rsidRPr="00417D12">
        <w:t>revendre</w:t>
      </w:r>
      <w:r w:rsidRPr="00116B80">
        <w:t xml:space="preserve"> sur le </w:t>
      </w:r>
      <w:proofErr w:type="spellStart"/>
      <w:r w:rsidRPr="00116B80">
        <w:t>marché.Au</w:t>
      </w:r>
      <w:proofErr w:type="spellEnd"/>
      <w:r w:rsidRPr="00116B80">
        <w:t> </w:t>
      </w:r>
      <w:r>
        <w:t>total</w:t>
      </w:r>
      <w:r w:rsidRPr="00116B80">
        <w:t>, d'après les calculs de l'agence </w:t>
      </w:r>
      <w:proofErr w:type="spellStart"/>
      <w:r w:rsidRPr="00417D12">
        <w:t>CarbonMarket</w:t>
      </w:r>
      <w:proofErr w:type="spellEnd"/>
      <w:r w:rsidRPr="00417D12">
        <w:t xml:space="preserve"> Data</w:t>
      </w:r>
      <w:r w:rsidRPr="00116B80">
        <w:t>, les entreprises européennes ont reçu, en 2012, 164 millions de quotas de plus qu'ils n'ont émis de tonnes de CO2. Soit un écart de 8 % entre les permis de </w:t>
      </w:r>
      <w:r w:rsidRPr="00417D12">
        <w:t>polluer</w:t>
      </w:r>
      <w:r w:rsidRPr="00116B80">
        <w:t> distribués gratuitement et monnayables sur le marché, et les émissions réelles des </w:t>
      </w:r>
      <w:r w:rsidRPr="00417D12">
        <w:t>société</w:t>
      </w:r>
      <w:r>
        <w:t>s. […]</w:t>
      </w:r>
    </w:p>
    <w:p w:rsidR="00FC35D8" w:rsidRPr="00116B80" w:rsidRDefault="00FC35D8" w:rsidP="00FC35D8">
      <w:pPr>
        <w:pBdr>
          <w:top w:val="wave" w:sz="6" w:space="1" w:color="auto"/>
          <w:left w:val="wave" w:sz="6" w:space="4" w:color="auto"/>
          <w:bottom w:val="wave" w:sz="6" w:space="1" w:color="auto"/>
          <w:right w:val="wave" w:sz="6" w:space="4" w:color="auto"/>
        </w:pBdr>
        <w:jc w:val="both"/>
      </w:pPr>
      <w:r w:rsidRPr="00116B80">
        <w:t>En raison de cet excédent de quotas, le prix de la tonne oscille depuis des mois entre 5 et 7 euros. </w:t>
      </w:r>
      <w:r w:rsidRPr="00417D12">
        <w:t>Or</w:t>
      </w:r>
      <w:r w:rsidRPr="00116B80">
        <w:t> il devrait </w:t>
      </w:r>
      <w:r w:rsidRPr="00417D12">
        <w:t>dépasser</w:t>
      </w:r>
      <w:r w:rsidRPr="00116B80">
        <w:t> 20 euros pour </w:t>
      </w:r>
      <w:r w:rsidRPr="00417D12">
        <w:t>inciter</w:t>
      </w:r>
      <w:r w:rsidRPr="00116B80">
        <w:t xml:space="preserve"> les industriels </w:t>
      </w:r>
      <w:proofErr w:type="spellStart"/>
      <w:r w:rsidRPr="00116B80">
        <w:t>à</w:t>
      </w:r>
      <w:r w:rsidRPr="00417D12">
        <w:t>développer</w:t>
      </w:r>
      <w:proofErr w:type="spellEnd"/>
      <w:r w:rsidRPr="00116B80">
        <w:t> des technologies propres. Pour </w:t>
      </w:r>
      <w:r w:rsidRPr="00417D12">
        <w:t>créer</w:t>
      </w:r>
      <w:r w:rsidRPr="00116B80">
        <w:t> de la rareté et </w:t>
      </w:r>
      <w:r w:rsidRPr="00417D12">
        <w:t>faire</w:t>
      </w:r>
      <w:r w:rsidRPr="00116B80">
        <w:t> </w:t>
      </w:r>
      <w:r w:rsidRPr="00417D12">
        <w:t>remonter</w:t>
      </w:r>
      <w:r w:rsidRPr="00116B80">
        <w:t> les prix, Mme </w:t>
      </w:r>
      <w:proofErr w:type="spellStart"/>
      <w:r w:rsidRPr="00116B80">
        <w:t>Hedegaard</w:t>
      </w:r>
      <w:proofErr w:type="spellEnd"/>
      <w:r w:rsidRPr="00116B80">
        <w:t xml:space="preserve"> a demandé aux Etats de l'</w:t>
      </w:r>
      <w:r w:rsidRPr="00417D12">
        <w:t>Union européenne</w:t>
      </w:r>
      <w:r w:rsidRPr="00116B80">
        <w:t> de </w:t>
      </w:r>
      <w:r w:rsidRPr="00417D12">
        <w:t>geler</w:t>
      </w:r>
      <w:r w:rsidRPr="00116B80">
        <w:t> la mise aux enchères de 900 millions de tonnes de quotas de CO2 sur les 8,5 milliards qui doivent </w:t>
      </w:r>
      <w:r w:rsidRPr="00417D12">
        <w:t>être</w:t>
      </w:r>
      <w:r w:rsidRPr="00116B80">
        <w:t> mis sur le marché sur la période 2013-2015.Censé </w:t>
      </w:r>
      <w:r w:rsidRPr="00417D12">
        <w:t>être</w:t>
      </w:r>
      <w:r w:rsidRPr="00116B80">
        <w:t> approuvé avant la fin 2012, ce plan de sauvetage a dû </w:t>
      </w:r>
      <w:r w:rsidRPr="00417D12">
        <w:t>être</w:t>
      </w:r>
      <w:r w:rsidRPr="00116B80">
        <w:t> retardé face aux divisions entre Etats membres, dont beaucoup ne souhaitent pas </w:t>
      </w:r>
      <w:r w:rsidRPr="00417D12">
        <w:t>pénaliser</w:t>
      </w:r>
      <w:r w:rsidRPr="00116B80">
        <w:t> la compétitivité de leur économie en renchérissant le prix du carbone.</w:t>
      </w:r>
    </w:p>
    <w:p w:rsidR="00FC35D8" w:rsidRPr="00D32B7E" w:rsidRDefault="00FC35D8" w:rsidP="00FC35D8">
      <w:pPr>
        <w:pBdr>
          <w:top w:val="wave" w:sz="6" w:space="1" w:color="auto"/>
          <w:left w:val="wave" w:sz="6" w:space="4" w:color="auto"/>
          <w:bottom w:val="wave" w:sz="6" w:space="1" w:color="auto"/>
          <w:right w:val="wave" w:sz="6" w:space="4" w:color="auto"/>
        </w:pBdr>
        <w:spacing w:after="0"/>
        <w:jc w:val="right"/>
        <w:rPr>
          <w:b/>
        </w:rPr>
      </w:pPr>
      <w:r>
        <w:rPr>
          <w:b/>
        </w:rPr>
        <w:t>Grégoire ALLIX, « </w:t>
      </w:r>
      <w:r w:rsidRPr="00D32B7E">
        <w:rPr>
          <w:b/>
        </w:rPr>
        <w:t>Sous l'effet de la crise, le marché carbone européen part en fumée</w:t>
      </w:r>
      <w:r>
        <w:rPr>
          <w:b/>
        </w:rPr>
        <w:t xml:space="preserve"> », </w:t>
      </w:r>
      <w:hyperlink r:id="rId27" w:history="1">
        <w:r w:rsidRPr="006839B5">
          <w:rPr>
            <w:rStyle w:val="Lienhypertexte"/>
            <w:b/>
          </w:rPr>
          <w:t>www.lemonde.fr</w:t>
        </w:r>
      </w:hyperlink>
      <w:r>
        <w:rPr>
          <w:b/>
        </w:rPr>
        <w:t>, 04.04.2013</w:t>
      </w:r>
    </w:p>
    <w:p w:rsidR="00FC35D8" w:rsidRPr="00D32B7E" w:rsidRDefault="00183B06" w:rsidP="00FC35D8">
      <w:pPr>
        <w:pBdr>
          <w:top w:val="wave" w:sz="6" w:space="1" w:color="auto"/>
          <w:left w:val="wave" w:sz="6" w:space="4" w:color="auto"/>
          <w:bottom w:val="wave" w:sz="6" w:space="1" w:color="auto"/>
          <w:right w:val="wave" w:sz="6" w:space="4" w:color="auto"/>
        </w:pBdr>
        <w:jc w:val="right"/>
        <w:rPr>
          <w:b/>
        </w:rPr>
      </w:pPr>
      <w:hyperlink r:id="rId28" w:history="1">
        <w:r w:rsidR="00FC35D8" w:rsidRPr="006839B5">
          <w:rPr>
            <w:rStyle w:val="Lienhypertexte"/>
            <w:b/>
          </w:rPr>
          <w:t>http://www.lemonde.fr/planete/article/2013/04/04/sous-l-effet-de-la-crise-le-marche-carbone-europeen-part-en-fumee_3153467_3244.html</w:t>
        </w:r>
      </w:hyperlink>
    </w:p>
    <w:p w:rsidR="00FC35D8" w:rsidRDefault="00FC35D8" w:rsidP="00FC35D8">
      <w:pPr>
        <w:spacing w:after="0"/>
        <w:jc w:val="both"/>
        <w:rPr>
          <w:i/>
          <w:color w:val="C0504D" w:themeColor="accent2"/>
        </w:rPr>
      </w:pPr>
      <w:r w:rsidRPr="00EB5EA6">
        <w:rPr>
          <w:i/>
          <w:color w:val="C0504D" w:themeColor="accent2"/>
        </w:rPr>
        <w:t>Q1. Comment ont évolué les émissions de GES soumis à la régulation par le marché du carbone européen en 2012 ?</w:t>
      </w:r>
    </w:p>
    <w:p w:rsidR="00FC35D8" w:rsidRDefault="00FC35D8" w:rsidP="00FC35D8">
      <w:pPr>
        <w:spacing w:after="0"/>
        <w:jc w:val="both"/>
        <w:rPr>
          <w:i/>
          <w:color w:val="C0504D" w:themeColor="accent2"/>
        </w:rPr>
      </w:pPr>
      <w:r w:rsidRPr="00EB5EA6">
        <w:rPr>
          <w:i/>
          <w:color w:val="C0504D" w:themeColor="accent2"/>
        </w:rPr>
        <w:t>Q2. Cette performance est-elle due au marché lui-même ?</w:t>
      </w:r>
    </w:p>
    <w:p w:rsidR="00FC35D8" w:rsidRDefault="00FC35D8" w:rsidP="00FC35D8">
      <w:pPr>
        <w:spacing w:after="0"/>
        <w:jc w:val="both"/>
        <w:rPr>
          <w:i/>
          <w:color w:val="C0504D" w:themeColor="accent2"/>
        </w:rPr>
      </w:pPr>
      <w:r>
        <w:rPr>
          <w:i/>
          <w:color w:val="C0504D" w:themeColor="accent2"/>
        </w:rPr>
        <w:t>Q3. Quelle est la situation de l’aciérie Arcelor Mittal de Dunkerque ?</w:t>
      </w:r>
    </w:p>
    <w:p w:rsidR="00FC35D8" w:rsidRDefault="00FC35D8" w:rsidP="00FC35D8">
      <w:pPr>
        <w:spacing w:after="0"/>
        <w:jc w:val="both"/>
        <w:rPr>
          <w:i/>
          <w:color w:val="C0504D" w:themeColor="accent2"/>
        </w:rPr>
      </w:pPr>
      <w:r>
        <w:rPr>
          <w:i/>
          <w:color w:val="C0504D" w:themeColor="accent2"/>
        </w:rPr>
        <w:t>Q4</w:t>
      </w:r>
      <w:r w:rsidRPr="00EB5EA6">
        <w:rPr>
          <w:i/>
          <w:color w:val="C0504D" w:themeColor="accent2"/>
        </w:rPr>
        <w:t>. Quel est le prix d’une tonne de carbone ?</w:t>
      </w:r>
      <w:r>
        <w:rPr>
          <w:i/>
          <w:color w:val="C0504D" w:themeColor="accent2"/>
        </w:rPr>
        <w:t xml:space="preserve"> Pourquoi est-il à ce niveau ?</w:t>
      </w:r>
    </w:p>
    <w:p w:rsidR="00FC35D8" w:rsidRPr="00EB5EA6" w:rsidRDefault="00FC35D8" w:rsidP="00FC35D8">
      <w:pPr>
        <w:jc w:val="both"/>
        <w:rPr>
          <w:i/>
          <w:color w:val="C0504D" w:themeColor="accent2"/>
        </w:rPr>
      </w:pPr>
      <w:r>
        <w:rPr>
          <w:i/>
          <w:color w:val="C0504D" w:themeColor="accent2"/>
        </w:rPr>
        <w:t>Q5. Pourquoi peut-on dire que la régulation par le marché n’est actuellement pas efficace ?</w:t>
      </w:r>
    </w:p>
    <w:p w:rsidR="00FC35D8" w:rsidRPr="007C4B7D" w:rsidRDefault="00FC35D8" w:rsidP="00FC35D8">
      <w:pPr>
        <w:jc w:val="both"/>
      </w:pPr>
    </w:p>
    <w:p w:rsidR="00FC35D8" w:rsidRDefault="00FC35D8" w:rsidP="00FC35D8">
      <w:pPr>
        <w:jc w:val="both"/>
      </w:pPr>
    </w:p>
    <w:sectPr w:rsidR="00FC35D8" w:rsidSect="00B57D8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B1E"/>
    <w:multiLevelType w:val="hybridMultilevel"/>
    <w:tmpl w:val="E244FBB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813A16"/>
    <w:multiLevelType w:val="hybridMultilevel"/>
    <w:tmpl w:val="40BE4C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A3616B"/>
    <w:multiLevelType w:val="hybridMultilevel"/>
    <w:tmpl w:val="AA9A5A6C"/>
    <w:lvl w:ilvl="0" w:tplc="116489BE">
      <w:start w:val="154"/>
      <w:numFmt w:val="bullet"/>
      <w:lvlText w:val="-"/>
      <w:lvlJc w:val="left"/>
      <w:pPr>
        <w:ind w:left="720" w:hanging="360"/>
      </w:pPr>
      <w:rPr>
        <w:rFonts w:ascii="Calibri" w:eastAsiaTheme="minorHAnsi" w:hAnsi="Calibri" w:cs="Calibri" w:hint="default"/>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834243"/>
    <w:multiLevelType w:val="hybridMultilevel"/>
    <w:tmpl w:val="4A76031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5E65B61"/>
    <w:multiLevelType w:val="hybridMultilevel"/>
    <w:tmpl w:val="88DA7552"/>
    <w:lvl w:ilvl="0" w:tplc="E25A37B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nsid w:val="1AE87EAD"/>
    <w:multiLevelType w:val="hybridMultilevel"/>
    <w:tmpl w:val="2A26540C"/>
    <w:lvl w:ilvl="0" w:tplc="B2526B2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3A40616E"/>
    <w:multiLevelType w:val="hybridMultilevel"/>
    <w:tmpl w:val="614E8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71E030F"/>
    <w:multiLevelType w:val="hybridMultilevel"/>
    <w:tmpl w:val="185CDF38"/>
    <w:lvl w:ilvl="0" w:tplc="E25A37B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48291D63"/>
    <w:multiLevelType w:val="hybridMultilevel"/>
    <w:tmpl w:val="8310640E"/>
    <w:lvl w:ilvl="0" w:tplc="76A039B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8CD319D"/>
    <w:multiLevelType w:val="hybridMultilevel"/>
    <w:tmpl w:val="FBFA425A"/>
    <w:lvl w:ilvl="0" w:tplc="1B98D79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BCC7C46"/>
    <w:multiLevelType w:val="hybridMultilevel"/>
    <w:tmpl w:val="D91EDDDA"/>
    <w:lvl w:ilvl="0" w:tplc="6D3273A8">
      <w:start w:val="1"/>
      <w:numFmt w:val="upperRoman"/>
      <w:lvlText w:val="%1."/>
      <w:lvlJc w:val="right"/>
      <w:pPr>
        <w:ind w:left="720" w:hanging="360"/>
      </w:pPr>
      <w:rPr>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02C3A10"/>
    <w:multiLevelType w:val="hybridMultilevel"/>
    <w:tmpl w:val="285488CE"/>
    <w:lvl w:ilvl="0" w:tplc="ECC269BE">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3784A3C"/>
    <w:multiLevelType w:val="hybridMultilevel"/>
    <w:tmpl w:val="21D4319C"/>
    <w:lvl w:ilvl="0" w:tplc="D220C94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E3F477A"/>
    <w:multiLevelType w:val="hybridMultilevel"/>
    <w:tmpl w:val="12E06C30"/>
    <w:lvl w:ilvl="0" w:tplc="FE7CA07A">
      <w:start w:val="13"/>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72160725"/>
    <w:multiLevelType w:val="hybridMultilevel"/>
    <w:tmpl w:val="42B6B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5EF3016"/>
    <w:multiLevelType w:val="hybridMultilevel"/>
    <w:tmpl w:val="9D7873D6"/>
    <w:lvl w:ilvl="0" w:tplc="6B2048D6">
      <w:start w:val="1"/>
      <w:numFmt w:val="upperRoman"/>
      <w:lvlText w:val="%1."/>
      <w:lvlJc w:val="right"/>
      <w:pPr>
        <w:ind w:left="720" w:hanging="360"/>
      </w:pPr>
      <w:rPr>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A084F5E"/>
    <w:multiLevelType w:val="hybridMultilevel"/>
    <w:tmpl w:val="B3C8861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AFE3312"/>
    <w:multiLevelType w:val="hybridMultilevel"/>
    <w:tmpl w:val="E33E56C2"/>
    <w:lvl w:ilvl="0" w:tplc="6D3273A8">
      <w:start w:val="1"/>
      <w:numFmt w:val="upperRoman"/>
      <w:lvlText w:val="%1."/>
      <w:lvlJc w:val="right"/>
      <w:pPr>
        <w:ind w:left="720" w:hanging="360"/>
      </w:pPr>
      <w:rPr>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0"/>
  </w:num>
  <w:num w:numId="3">
    <w:abstractNumId w:val="8"/>
  </w:num>
  <w:num w:numId="4">
    <w:abstractNumId w:val="9"/>
  </w:num>
  <w:num w:numId="5">
    <w:abstractNumId w:val="3"/>
  </w:num>
  <w:num w:numId="6">
    <w:abstractNumId w:val="15"/>
  </w:num>
  <w:num w:numId="7">
    <w:abstractNumId w:val="0"/>
  </w:num>
  <w:num w:numId="8">
    <w:abstractNumId w:val="1"/>
  </w:num>
  <w:num w:numId="9">
    <w:abstractNumId w:val="16"/>
  </w:num>
  <w:num w:numId="10">
    <w:abstractNumId w:val="12"/>
  </w:num>
  <w:num w:numId="11">
    <w:abstractNumId w:val="4"/>
  </w:num>
  <w:num w:numId="12">
    <w:abstractNumId w:val="7"/>
  </w:num>
  <w:num w:numId="13">
    <w:abstractNumId w:val="5"/>
  </w:num>
  <w:num w:numId="14">
    <w:abstractNumId w:val="11"/>
  </w:num>
  <w:num w:numId="15">
    <w:abstractNumId w:val="2"/>
  </w:num>
  <w:num w:numId="16">
    <w:abstractNumId w:val="14"/>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D8A"/>
    <w:rsid w:val="0000398E"/>
    <w:rsid w:val="00183B06"/>
    <w:rsid w:val="001B6D53"/>
    <w:rsid w:val="001D00DA"/>
    <w:rsid w:val="001F565D"/>
    <w:rsid w:val="00290F7E"/>
    <w:rsid w:val="00292A6E"/>
    <w:rsid w:val="003E507C"/>
    <w:rsid w:val="00494BF4"/>
    <w:rsid w:val="004E45FE"/>
    <w:rsid w:val="00532E80"/>
    <w:rsid w:val="00584D13"/>
    <w:rsid w:val="00676807"/>
    <w:rsid w:val="007C229D"/>
    <w:rsid w:val="007D7128"/>
    <w:rsid w:val="00813CB3"/>
    <w:rsid w:val="008210DB"/>
    <w:rsid w:val="008E0BE2"/>
    <w:rsid w:val="008F5C5E"/>
    <w:rsid w:val="0091054E"/>
    <w:rsid w:val="00994E81"/>
    <w:rsid w:val="009E3D8A"/>
    <w:rsid w:val="00A82A71"/>
    <w:rsid w:val="00AA6909"/>
    <w:rsid w:val="00B57D8A"/>
    <w:rsid w:val="00B6753D"/>
    <w:rsid w:val="00BA1275"/>
    <w:rsid w:val="00C379AB"/>
    <w:rsid w:val="00C43162"/>
    <w:rsid w:val="00C8750A"/>
    <w:rsid w:val="00D34816"/>
    <w:rsid w:val="00D80704"/>
    <w:rsid w:val="00DA3EC6"/>
    <w:rsid w:val="00FA0F6C"/>
    <w:rsid w:val="00FC35D8"/>
    <w:rsid w:val="00FD2902"/>
    <w:rsid w:val="00FE7F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D8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7D8A"/>
    <w:pPr>
      <w:ind w:left="720"/>
      <w:contextualSpacing/>
    </w:pPr>
  </w:style>
  <w:style w:type="character" w:styleId="Lienhypertexte">
    <w:name w:val="Hyperlink"/>
    <w:basedOn w:val="Policepardfaut"/>
    <w:uiPriority w:val="99"/>
    <w:unhideWhenUsed/>
    <w:rsid w:val="00B57D8A"/>
    <w:rPr>
      <w:color w:val="0000FF"/>
      <w:u w:val="single"/>
    </w:rPr>
  </w:style>
  <w:style w:type="paragraph" w:styleId="Textedebulles">
    <w:name w:val="Balloon Text"/>
    <w:basedOn w:val="Normal"/>
    <w:link w:val="TextedebullesCar"/>
    <w:uiPriority w:val="99"/>
    <w:semiHidden/>
    <w:unhideWhenUsed/>
    <w:rsid w:val="00B57D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57D8A"/>
    <w:rPr>
      <w:rFonts w:ascii="Tahoma" w:hAnsi="Tahoma" w:cs="Tahoma"/>
      <w:sz w:val="16"/>
      <w:szCs w:val="16"/>
    </w:rPr>
  </w:style>
  <w:style w:type="table" w:styleId="Grilledutableau">
    <w:name w:val="Table Grid"/>
    <w:basedOn w:val="TableauNormal"/>
    <w:uiPriority w:val="59"/>
    <w:rsid w:val="00A8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494BF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D8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7D8A"/>
    <w:pPr>
      <w:ind w:left="720"/>
      <w:contextualSpacing/>
    </w:pPr>
  </w:style>
  <w:style w:type="character" w:styleId="Lienhypertexte">
    <w:name w:val="Hyperlink"/>
    <w:basedOn w:val="Policepardfaut"/>
    <w:uiPriority w:val="99"/>
    <w:unhideWhenUsed/>
    <w:rsid w:val="00B57D8A"/>
    <w:rPr>
      <w:color w:val="0000FF"/>
      <w:u w:val="single"/>
    </w:rPr>
  </w:style>
  <w:style w:type="paragraph" w:styleId="Textedebulles">
    <w:name w:val="Balloon Text"/>
    <w:basedOn w:val="Normal"/>
    <w:link w:val="TextedebullesCar"/>
    <w:uiPriority w:val="99"/>
    <w:semiHidden/>
    <w:unhideWhenUsed/>
    <w:rsid w:val="00B57D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57D8A"/>
    <w:rPr>
      <w:rFonts w:ascii="Tahoma" w:hAnsi="Tahoma" w:cs="Tahoma"/>
      <w:sz w:val="16"/>
      <w:szCs w:val="16"/>
    </w:rPr>
  </w:style>
  <w:style w:type="table" w:styleId="Grilledutableau">
    <w:name w:val="Table Grid"/>
    <w:basedOn w:val="TableauNormal"/>
    <w:uiPriority w:val="59"/>
    <w:rsid w:val="00A8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494B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4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gif"/><Relationship Id="rId18" Type="http://schemas.openxmlformats.org/officeDocument/2006/relationships/image" Target="media/image9.png"/><Relationship Id="rId26" Type="http://schemas.openxmlformats.org/officeDocument/2006/relationships/hyperlink" Target="http://www.lemonde.fr/m-styles/article/2014/10/02/le-bonus-pour-les-voitures-essence-et-diesel-propres-c-est-fini_4498851_4497319.html" TargetMode="External"/><Relationship Id="rId3" Type="http://schemas.microsoft.com/office/2007/relationships/stylesWithEffects" Target="stylesWithEffects.xml"/><Relationship Id="rId21" Type="http://schemas.openxmlformats.org/officeDocument/2006/relationships/hyperlink" Target="http://www.developpement-durable.gouv.fr/Les-chiffres-cles-de-l-energie-en.html"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www.liberation.fr/terre/2012/08/27/la-surpeche-touche-les-fonds_842184" TargetMode="External"/><Relationship Id="rId25" Type="http://schemas.openxmlformats.org/officeDocument/2006/relationships/hyperlink" Target="http://www.lepoint.fr/auto-addict/strategie/pollution-automobile-ce-que-l-europe-exige-des-constructeurs-03-10-2013-1738761_659.php" TargetMode="External"/><Relationship Id="rId2" Type="http://schemas.openxmlformats.org/officeDocument/2006/relationships/styles" Target="styles.xml"/><Relationship Id="rId16" Type="http://schemas.openxmlformats.org/officeDocument/2006/relationships/hyperlink" Target="http://www.leberation.fr" TargetMode="External"/><Relationship Id="rId20" Type="http://schemas.openxmlformats.org/officeDocument/2006/relationships/hyperlink" Target="http://www.developpement-durable.gouv.f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www.lepoint.fr" TargetMode="External"/><Relationship Id="rId5" Type="http://schemas.openxmlformats.org/officeDocument/2006/relationships/webSettings" Target="webSettings.xml"/><Relationship Id="rId15" Type="http://schemas.openxmlformats.org/officeDocument/2006/relationships/hyperlink" Target="http://www.lemonde.fr/planete/article/2014/09/21/nouveau-record-des-emissions-de-co2-en-2013_4491588_3244.html" TargetMode="External"/><Relationship Id="rId23" Type="http://schemas.openxmlformats.org/officeDocument/2006/relationships/hyperlink" Target="http://www.insee.fr/fr/ffc/docs_ffc/ref/ECOFRA12e_D3_eco_ver.pdf" TargetMode="External"/><Relationship Id="rId28" Type="http://schemas.openxmlformats.org/officeDocument/2006/relationships/hyperlink" Target="http://www.lemonde.fr/planete/article/2013/04/04/sous-l-effet-de-la-crise-le-marche-carbone-europeen-part-en-fumee_3153467_3244.html" TargetMode="External"/><Relationship Id="rId10" Type="http://schemas.openxmlformats.org/officeDocument/2006/relationships/image" Target="media/image5.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lemonde.fr" TargetMode="External"/><Relationship Id="rId22" Type="http://schemas.openxmlformats.org/officeDocument/2006/relationships/image" Target="media/image11.png"/><Relationship Id="rId27" Type="http://schemas.openxmlformats.org/officeDocument/2006/relationships/hyperlink" Target="http://www.lemonde.fr"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3136</Words>
  <Characters>17252</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dc:creator>
  <cp:lastModifiedBy>romain</cp:lastModifiedBy>
  <cp:revision>5</cp:revision>
  <cp:lastPrinted>2014-10-10T13:20:00Z</cp:lastPrinted>
  <dcterms:created xsi:type="dcterms:W3CDTF">2015-10-26T11:52:00Z</dcterms:created>
  <dcterms:modified xsi:type="dcterms:W3CDTF">2015-10-27T09:38:00Z</dcterms:modified>
</cp:coreProperties>
</file>